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FB2E" w14:textId="77777777" w:rsidR="00CA467E" w:rsidRDefault="00CA467E" w:rsidP="00483B2F">
      <w:pPr>
        <w:spacing w:after="0"/>
        <w:jc w:val="center"/>
        <w:rPr>
          <w:rFonts w:ascii="Times New Roman" w:hAnsi="Times New Roman" w:cs="Times New Roman"/>
          <w:b/>
          <w:bCs/>
          <w:sz w:val="28"/>
          <w:szCs w:val="28"/>
        </w:rPr>
      </w:pPr>
    </w:p>
    <w:p w14:paraId="1120CC49" w14:textId="77777777" w:rsidR="00CA467E" w:rsidRDefault="00CA467E" w:rsidP="00483B2F">
      <w:pPr>
        <w:spacing w:after="0"/>
        <w:jc w:val="center"/>
        <w:rPr>
          <w:rFonts w:ascii="Times New Roman" w:hAnsi="Times New Roman" w:cs="Times New Roman"/>
          <w:b/>
          <w:bCs/>
          <w:sz w:val="28"/>
          <w:szCs w:val="28"/>
        </w:rPr>
      </w:pPr>
    </w:p>
    <w:p w14:paraId="3249C551" w14:textId="070F25DB" w:rsidR="00CA467E" w:rsidRDefault="00CA467E" w:rsidP="00CA467E">
      <w:pPr>
        <w:spacing w:after="0"/>
        <w:jc w:val="right"/>
        <w:rPr>
          <w:rFonts w:ascii="Times New Roman" w:hAnsi="Times New Roman" w:cs="Times New Roman"/>
        </w:rPr>
      </w:pPr>
      <w:r>
        <w:rPr>
          <w:rFonts w:ascii="Times New Roman" w:hAnsi="Times New Roman" w:cs="Times New Roman"/>
        </w:rPr>
        <w:t>APSTIPRINĀT</w:t>
      </w:r>
      <w:r w:rsidR="00084E9B">
        <w:rPr>
          <w:rFonts w:ascii="Times New Roman" w:hAnsi="Times New Roman" w:cs="Times New Roman"/>
        </w:rPr>
        <w:t>S</w:t>
      </w:r>
    </w:p>
    <w:p w14:paraId="53238220" w14:textId="77777777" w:rsidR="00CA467E" w:rsidRDefault="00CA467E" w:rsidP="00CA467E">
      <w:pPr>
        <w:spacing w:after="0"/>
        <w:jc w:val="right"/>
        <w:rPr>
          <w:rFonts w:ascii="Times New Roman" w:hAnsi="Times New Roman" w:cs="Times New Roman"/>
        </w:rPr>
      </w:pPr>
      <w:r>
        <w:rPr>
          <w:rFonts w:ascii="Times New Roman" w:hAnsi="Times New Roman" w:cs="Times New Roman"/>
        </w:rPr>
        <w:t>ar Pāvilostas ostas valdes</w:t>
      </w:r>
    </w:p>
    <w:p w14:paraId="1443ED54" w14:textId="4E65F02D" w:rsidR="00CA467E" w:rsidRDefault="00CA467E" w:rsidP="00CA467E">
      <w:pPr>
        <w:spacing w:after="0"/>
        <w:jc w:val="right"/>
        <w:rPr>
          <w:rFonts w:ascii="Times New Roman" w:hAnsi="Times New Roman" w:cs="Times New Roman"/>
        </w:rPr>
      </w:pPr>
      <w:r>
        <w:rPr>
          <w:rFonts w:ascii="Times New Roman" w:hAnsi="Times New Roman" w:cs="Times New Roman"/>
        </w:rPr>
        <w:t xml:space="preserve">2023. gada </w:t>
      </w:r>
      <w:r w:rsidR="00E821F0">
        <w:rPr>
          <w:rFonts w:ascii="Times New Roman" w:hAnsi="Times New Roman" w:cs="Times New Roman"/>
        </w:rPr>
        <w:t>16</w:t>
      </w:r>
      <w:r>
        <w:rPr>
          <w:rFonts w:ascii="Times New Roman" w:hAnsi="Times New Roman" w:cs="Times New Roman"/>
        </w:rPr>
        <w:t>. jūnija</w:t>
      </w:r>
    </w:p>
    <w:p w14:paraId="0CF471FB" w14:textId="26279D62" w:rsidR="00CA467E" w:rsidRDefault="00CA467E" w:rsidP="00CA467E">
      <w:pPr>
        <w:spacing w:after="0"/>
        <w:jc w:val="right"/>
        <w:rPr>
          <w:rFonts w:ascii="Times New Roman" w:hAnsi="Times New Roman" w:cs="Times New Roman"/>
        </w:rPr>
      </w:pPr>
      <w:r>
        <w:rPr>
          <w:rFonts w:ascii="Times New Roman" w:hAnsi="Times New Roman" w:cs="Times New Roman"/>
        </w:rPr>
        <w:t xml:space="preserve">Lēmumu Nr. </w:t>
      </w:r>
      <w:r w:rsidR="00E821F0">
        <w:rPr>
          <w:rFonts w:ascii="Times New Roman" w:hAnsi="Times New Roman" w:cs="Times New Roman"/>
        </w:rPr>
        <w:t>7</w:t>
      </w:r>
    </w:p>
    <w:p w14:paraId="18C56215" w14:textId="77777777" w:rsidR="00CA467E" w:rsidRDefault="00CA467E" w:rsidP="00CA467E">
      <w:pPr>
        <w:jc w:val="right"/>
        <w:rPr>
          <w:rFonts w:ascii="Times New Roman" w:hAnsi="Times New Roman" w:cs="Times New Roman"/>
        </w:rPr>
      </w:pPr>
    </w:p>
    <w:p w14:paraId="7E4B31F0" w14:textId="77777777" w:rsidR="00CA467E" w:rsidRDefault="00CA467E" w:rsidP="00483B2F">
      <w:pPr>
        <w:spacing w:after="0"/>
        <w:jc w:val="center"/>
        <w:rPr>
          <w:rFonts w:ascii="Times New Roman" w:hAnsi="Times New Roman" w:cs="Times New Roman"/>
          <w:b/>
          <w:bCs/>
          <w:sz w:val="28"/>
          <w:szCs w:val="28"/>
        </w:rPr>
      </w:pPr>
    </w:p>
    <w:p w14:paraId="25C7C6DD" w14:textId="77777777" w:rsidR="00B5156E" w:rsidRDefault="00483B2F" w:rsidP="00483B2F">
      <w:pPr>
        <w:spacing w:after="0"/>
        <w:jc w:val="center"/>
        <w:rPr>
          <w:rFonts w:ascii="Times New Roman" w:hAnsi="Times New Roman" w:cs="Times New Roman"/>
          <w:b/>
          <w:bCs/>
          <w:sz w:val="28"/>
          <w:szCs w:val="28"/>
        </w:rPr>
      </w:pPr>
      <w:r>
        <w:rPr>
          <w:rFonts w:ascii="Times New Roman" w:hAnsi="Times New Roman" w:cs="Times New Roman"/>
          <w:b/>
          <w:bCs/>
          <w:sz w:val="28"/>
          <w:szCs w:val="28"/>
        </w:rPr>
        <w:t>Pāvilostas ostas pārvaldes piestātņu maksu un maksas pakalpojumu</w:t>
      </w:r>
    </w:p>
    <w:p w14:paraId="7C24DDBB" w14:textId="77777777" w:rsidR="00483B2F" w:rsidRDefault="00483B2F" w:rsidP="00483B2F">
      <w:pPr>
        <w:spacing w:after="0"/>
        <w:jc w:val="center"/>
        <w:rPr>
          <w:rFonts w:ascii="Times New Roman" w:hAnsi="Times New Roman" w:cs="Times New Roman"/>
          <w:b/>
          <w:bCs/>
          <w:sz w:val="28"/>
          <w:szCs w:val="28"/>
        </w:rPr>
      </w:pPr>
      <w:r>
        <w:rPr>
          <w:rFonts w:ascii="Times New Roman" w:hAnsi="Times New Roman" w:cs="Times New Roman"/>
          <w:b/>
          <w:bCs/>
          <w:sz w:val="28"/>
          <w:szCs w:val="28"/>
        </w:rPr>
        <w:t>izcenojumu noteikšanas metodika</w:t>
      </w:r>
    </w:p>
    <w:p w14:paraId="1FC48866" w14:textId="77777777" w:rsidR="00483B2F" w:rsidRDefault="00483B2F" w:rsidP="00483B2F">
      <w:pPr>
        <w:spacing w:after="0"/>
        <w:jc w:val="right"/>
        <w:rPr>
          <w:rFonts w:ascii="Times New Roman" w:hAnsi="Times New Roman" w:cs="Times New Roman"/>
          <w:sz w:val="28"/>
          <w:szCs w:val="28"/>
        </w:rPr>
      </w:pPr>
    </w:p>
    <w:p w14:paraId="51B16342" w14:textId="77777777" w:rsidR="00483B2F" w:rsidRDefault="00483B2F" w:rsidP="00483B2F">
      <w:pPr>
        <w:spacing w:after="0"/>
        <w:jc w:val="right"/>
        <w:rPr>
          <w:rFonts w:ascii="Times New Roman" w:hAnsi="Times New Roman" w:cs="Times New Roman"/>
        </w:rPr>
      </w:pPr>
      <w:r>
        <w:rPr>
          <w:rFonts w:ascii="Times New Roman" w:hAnsi="Times New Roman" w:cs="Times New Roman"/>
        </w:rPr>
        <w:t>Izdoti saskaņā ar Ostu likuma 12.panta 1. daļu,</w:t>
      </w:r>
    </w:p>
    <w:p w14:paraId="1D39A947" w14:textId="77777777" w:rsidR="00B41EC9" w:rsidRDefault="00483B2F" w:rsidP="00B41EC9">
      <w:pPr>
        <w:spacing w:after="0"/>
        <w:jc w:val="right"/>
        <w:rPr>
          <w:rFonts w:ascii="Times New Roman" w:hAnsi="Times New Roman" w:cs="Times New Roman"/>
        </w:rPr>
      </w:pPr>
      <w:r>
        <w:rPr>
          <w:rFonts w:ascii="Times New Roman" w:hAnsi="Times New Roman" w:cs="Times New Roman"/>
        </w:rPr>
        <w:t>13.pantu un 15.pan</w:t>
      </w:r>
      <w:r w:rsidR="00B41EC9">
        <w:rPr>
          <w:rFonts w:ascii="Times New Roman" w:hAnsi="Times New Roman" w:cs="Times New Roman"/>
        </w:rPr>
        <w:t>tu</w:t>
      </w:r>
    </w:p>
    <w:p w14:paraId="481FDB83" w14:textId="77777777" w:rsidR="00B41EC9" w:rsidRDefault="00B41EC9" w:rsidP="00B41EC9">
      <w:pPr>
        <w:spacing w:after="0"/>
        <w:jc w:val="right"/>
        <w:rPr>
          <w:rFonts w:ascii="Times New Roman" w:hAnsi="Times New Roman" w:cs="Times New Roman"/>
        </w:rPr>
      </w:pPr>
    </w:p>
    <w:p w14:paraId="09351ED0" w14:textId="77777777" w:rsidR="00B41EC9" w:rsidRDefault="00B41EC9" w:rsidP="00B41EC9">
      <w:pPr>
        <w:spacing w:after="0"/>
        <w:jc w:val="right"/>
        <w:rPr>
          <w:rFonts w:ascii="Times New Roman" w:hAnsi="Times New Roman" w:cs="Times New Roman"/>
        </w:rPr>
      </w:pPr>
    </w:p>
    <w:p w14:paraId="55EBCC75" w14:textId="77777777" w:rsidR="00B41EC9" w:rsidRDefault="00B41EC9" w:rsidP="00B41EC9">
      <w:pPr>
        <w:pStyle w:val="Sarakstarindkopa"/>
        <w:numPr>
          <w:ilvl w:val="0"/>
          <w:numId w:val="2"/>
        </w:numPr>
        <w:spacing w:after="0"/>
        <w:rPr>
          <w:rFonts w:ascii="Times New Roman" w:hAnsi="Times New Roman" w:cs="Times New Roman"/>
          <w:b/>
          <w:bCs/>
          <w:sz w:val="24"/>
          <w:szCs w:val="24"/>
        </w:rPr>
      </w:pPr>
      <w:r w:rsidRPr="00B41EC9">
        <w:rPr>
          <w:rFonts w:ascii="Times New Roman" w:hAnsi="Times New Roman" w:cs="Times New Roman"/>
          <w:b/>
          <w:bCs/>
          <w:sz w:val="24"/>
          <w:szCs w:val="24"/>
        </w:rPr>
        <w:t>Vispārīgie jautājumi</w:t>
      </w:r>
    </w:p>
    <w:p w14:paraId="520F7580" w14:textId="77777777" w:rsidR="00B41EC9" w:rsidRDefault="00B41EC9" w:rsidP="00B41EC9">
      <w:pPr>
        <w:pStyle w:val="Sarakstarindkopa"/>
        <w:spacing w:after="0"/>
        <w:rPr>
          <w:rFonts w:ascii="Times New Roman" w:hAnsi="Times New Roman" w:cs="Times New Roman"/>
          <w:sz w:val="24"/>
          <w:szCs w:val="24"/>
        </w:rPr>
      </w:pPr>
    </w:p>
    <w:p w14:paraId="361B96E7" w14:textId="77777777" w:rsidR="00B41EC9" w:rsidRDefault="00B41EC9"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Pāvilostas ostas pārvaldes maksas pakalpojumu izcenojumu noteikšanas metodika nosaka kārtību, kādā aprēķināmi un apstiprināmi ostas pakalpojumu  tarifu un citu  Pāvilostas ostas pārvaldes sniegto maksas pakalpojumu izcenojumi.</w:t>
      </w:r>
    </w:p>
    <w:p w14:paraId="5B78E8DE" w14:textId="77777777" w:rsidR="00B41EC9" w:rsidRDefault="003D2149"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Metodikas mērķis ir noteikt vienotu un ekonomiski pamatotu kārtību izcenojumu noteikšanai ostas sniegtajiem maksas pakalpojumiem.</w:t>
      </w:r>
    </w:p>
    <w:p w14:paraId="488A7B64" w14:textId="77777777" w:rsidR="003D2149" w:rsidRPr="003D2149" w:rsidRDefault="003D2149" w:rsidP="00312625">
      <w:pPr>
        <w:spacing w:after="0"/>
        <w:jc w:val="both"/>
        <w:rPr>
          <w:rFonts w:ascii="Times New Roman" w:hAnsi="Times New Roman" w:cs="Times New Roman"/>
          <w:sz w:val="24"/>
          <w:szCs w:val="24"/>
        </w:rPr>
      </w:pPr>
    </w:p>
    <w:p w14:paraId="03AC9701" w14:textId="77777777" w:rsidR="003D2149" w:rsidRDefault="003D2149" w:rsidP="00312625">
      <w:pPr>
        <w:pStyle w:val="Sarakstarindkopa"/>
        <w:numPr>
          <w:ilvl w:val="0"/>
          <w:numId w:val="2"/>
        </w:numPr>
        <w:spacing w:after="0"/>
        <w:jc w:val="both"/>
        <w:rPr>
          <w:rFonts w:ascii="Times New Roman" w:hAnsi="Times New Roman" w:cs="Times New Roman"/>
          <w:b/>
          <w:bCs/>
          <w:sz w:val="24"/>
          <w:szCs w:val="24"/>
        </w:rPr>
      </w:pPr>
      <w:r w:rsidRPr="003D2149">
        <w:rPr>
          <w:rFonts w:ascii="Times New Roman" w:hAnsi="Times New Roman" w:cs="Times New Roman"/>
          <w:b/>
          <w:bCs/>
          <w:sz w:val="24"/>
          <w:szCs w:val="24"/>
        </w:rPr>
        <w:t>Ieņēmumu un izdevumu uzskaite</w:t>
      </w:r>
    </w:p>
    <w:p w14:paraId="0F29B584" w14:textId="77777777" w:rsidR="003D2149" w:rsidRDefault="003D2149" w:rsidP="00312625">
      <w:pPr>
        <w:pStyle w:val="Sarakstarindkopa"/>
        <w:spacing w:after="0"/>
        <w:jc w:val="both"/>
        <w:rPr>
          <w:rFonts w:ascii="Times New Roman" w:hAnsi="Times New Roman" w:cs="Times New Roman"/>
          <w:b/>
          <w:bCs/>
          <w:sz w:val="24"/>
          <w:szCs w:val="24"/>
        </w:rPr>
      </w:pPr>
    </w:p>
    <w:p w14:paraId="4E254C9D" w14:textId="77777777" w:rsidR="003D2149" w:rsidRDefault="003D2149"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Ieņēmumi un izdevumi Pāvilostas ostas pārvaldē tiek uzskaitīti atbilstoši LR grāmatvedības likumam pēc ostas pārvaldes apstiprināta konta plāna.</w:t>
      </w:r>
    </w:p>
    <w:p w14:paraId="07F8FDB4" w14:textId="77777777" w:rsidR="003D2149" w:rsidRDefault="003D2149"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Reizi gadā, pakalpojumu sniegšanas efektivitātes novērtēšanai, tiek veikta Pāvilostas ostas pārvaldes ieņēmumu un izdevumu analīze par iepriekšējo pārskata gadu, sadalījumā pa sniegto pakalpojumu veidiem.</w:t>
      </w:r>
    </w:p>
    <w:p w14:paraId="76298D9F" w14:textId="77777777" w:rsidR="003D2149" w:rsidRDefault="003D2149" w:rsidP="00312625">
      <w:pPr>
        <w:pStyle w:val="Sarakstarindkopa"/>
        <w:spacing w:after="0"/>
        <w:jc w:val="both"/>
        <w:rPr>
          <w:rFonts w:ascii="Times New Roman" w:hAnsi="Times New Roman" w:cs="Times New Roman"/>
          <w:b/>
          <w:bCs/>
          <w:sz w:val="24"/>
          <w:szCs w:val="24"/>
        </w:rPr>
      </w:pPr>
    </w:p>
    <w:p w14:paraId="332B058C" w14:textId="77777777" w:rsidR="003D2149" w:rsidRDefault="003D2149" w:rsidP="00312625">
      <w:pPr>
        <w:pStyle w:val="Sarakstarindkopa"/>
        <w:numPr>
          <w:ilvl w:val="0"/>
          <w:numId w:val="2"/>
        </w:numPr>
        <w:spacing w:after="0"/>
        <w:jc w:val="both"/>
        <w:rPr>
          <w:rFonts w:ascii="Times New Roman" w:hAnsi="Times New Roman" w:cs="Times New Roman"/>
          <w:b/>
          <w:bCs/>
          <w:sz w:val="24"/>
          <w:szCs w:val="24"/>
        </w:rPr>
      </w:pPr>
      <w:r w:rsidRPr="003D2149">
        <w:rPr>
          <w:rFonts w:ascii="Times New Roman" w:hAnsi="Times New Roman" w:cs="Times New Roman"/>
          <w:b/>
          <w:bCs/>
          <w:sz w:val="24"/>
          <w:szCs w:val="24"/>
        </w:rPr>
        <w:t>Izcenojumu noteikšanas metodika</w:t>
      </w:r>
    </w:p>
    <w:p w14:paraId="1D9E9BBD" w14:textId="77777777" w:rsidR="00312625" w:rsidRDefault="00312625" w:rsidP="00312625">
      <w:pPr>
        <w:pStyle w:val="Sarakstarindkopa"/>
        <w:spacing w:after="0"/>
        <w:jc w:val="both"/>
        <w:rPr>
          <w:rFonts w:ascii="Times New Roman" w:hAnsi="Times New Roman" w:cs="Times New Roman"/>
          <w:b/>
          <w:bCs/>
          <w:sz w:val="24"/>
          <w:szCs w:val="24"/>
        </w:rPr>
      </w:pPr>
    </w:p>
    <w:p w14:paraId="14809E35" w14:textId="77777777" w:rsidR="003D2149" w:rsidRPr="00C41597" w:rsidRDefault="00C41597" w:rsidP="00312625">
      <w:pPr>
        <w:pStyle w:val="Sarakstarindkopa"/>
        <w:numPr>
          <w:ilvl w:val="1"/>
          <w:numId w:val="2"/>
        </w:numPr>
        <w:spacing w:after="0"/>
        <w:jc w:val="both"/>
        <w:rPr>
          <w:rFonts w:ascii="Times New Roman" w:hAnsi="Times New Roman" w:cs="Times New Roman"/>
          <w:sz w:val="24"/>
          <w:szCs w:val="24"/>
        </w:rPr>
      </w:pPr>
      <w:r w:rsidRPr="00C41597">
        <w:rPr>
          <w:rFonts w:ascii="Times New Roman" w:hAnsi="Times New Roman" w:cs="Times New Roman"/>
          <w:sz w:val="24"/>
          <w:szCs w:val="24"/>
        </w:rPr>
        <w:t>Ostas maksas pakalpojumu izcenojumu noteikšanai, katram maksas veidam</w:t>
      </w:r>
      <w:r>
        <w:rPr>
          <w:rFonts w:ascii="Times New Roman" w:hAnsi="Times New Roman" w:cs="Times New Roman"/>
          <w:sz w:val="24"/>
          <w:szCs w:val="24"/>
        </w:rPr>
        <w:t>,</w:t>
      </w:r>
      <w:r w:rsidRPr="00C41597">
        <w:rPr>
          <w:rFonts w:ascii="Times New Roman" w:hAnsi="Times New Roman" w:cs="Times New Roman"/>
          <w:sz w:val="24"/>
          <w:szCs w:val="24"/>
        </w:rPr>
        <w:t xml:space="preserve"> saskaņā ar šo noteikumu pielikumu</w:t>
      </w:r>
      <w:r>
        <w:rPr>
          <w:rFonts w:ascii="Times New Roman" w:hAnsi="Times New Roman" w:cs="Times New Roman"/>
          <w:sz w:val="24"/>
          <w:szCs w:val="24"/>
        </w:rPr>
        <w:t>,</w:t>
      </w:r>
      <w:r w:rsidRPr="00C41597">
        <w:rPr>
          <w:rFonts w:ascii="Times New Roman" w:hAnsi="Times New Roman" w:cs="Times New Roman"/>
          <w:sz w:val="24"/>
          <w:szCs w:val="24"/>
        </w:rPr>
        <w:t xml:space="preserve"> tiek sagatavots ostas maksas pakalpojuma izcenojums.</w:t>
      </w:r>
    </w:p>
    <w:p w14:paraId="254222A2" w14:textId="77777777" w:rsidR="00C41597" w:rsidRDefault="00C41597"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Lai noteiktu ostas maksas pakalpojumu (t.sk. telpu nomas maksu) izcenojumus, tiek izstrādāts izcenojuma aprēķins, tajā ietverot visas izmaksas, kas rodas, sniedzot  attiecīgo pakalpojumu, ieskaitot administrācijas izmaksas. Izcenojuma aprēķina</w:t>
      </w:r>
      <w:r w:rsidR="00A27D88">
        <w:rPr>
          <w:rFonts w:ascii="Times New Roman" w:hAnsi="Times New Roman" w:cs="Times New Roman"/>
          <w:sz w:val="24"/>
          <w:szCs w:val="24"/>
        </w:rPr>
        <w:t>m paredz rentabilitāti</w:t>
      </w:r>
      <w:r w:rsidR="00B86E96">
        <w:rPr>
          <w:rFonts w:ascii="Times New Roman" w:hAnsi="Times New Roman" w:cs="Times New Roman"/>
          <w:sz w:val="24"/>
          <w:szCs w:val="24"/>
        </w:rPr>
        <w:t xml:space="preserve"> </w:t>
      </w:r>
      <w:r w:rsidR="00A27D88">
        <w:rPr>
          <w:rFonts w:ascii="Times New Roman" w:hAnsi="Times New Roman" w:cs="Times New Roman"/>
          <w:sz w:val="24"/>
          <w:szCs w:val="24"/>
        </w:rPr>
        <w:t>- neparedzētos izdevumus 5% apmērā.</w:t>
      </w:r>
    </w:p>
    <w:p w14:paraId="75377059" w14:textId="77777777" w:rsidR="00A27D88" w:rsidRDefault="00A27D88"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Nosakot ostas pakalpojumu izcenojumus, tiek veikta Pāvilostas ostas pārvaldes ieņēmumu un izdevumu analīze par iepriekšējo pārskata gadu, izcenojumu maksu izpēte  tuvākajās ostās, ņemtas vērā preču un </w:t>
      </w:r>
      <w:r>
        <w:rPr>
          <w:rFonts w:ascii="Times New Roman" w:hAnsi="Times New Roman" w:cs="Times New Roman"/>
          <w:sz w:val="24"/>
          <w:szCs w:val="24"/>
        </w:rPr>
        <w:lastRenderedPageBreak/>
        <w:t>pakalpojumu cenu izmaiņas pārskata gadā, kā arī plānotais budžets kārtējam gadam</w:t>
      </w:r>
    </w:p>
    <w:p w14:paraId="6ADDFBD1" w14:textId="77777777" w:rsidR="00A27D88" w:rsidRDefault="00A27D88"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Nosakot ostas pakalpojuma izcenojumus, nepieciešams saglabāt konkurētspēju ar blakus esošajām ostām, tāpēc tiek veikta ostu pakalpojumu izcenojumu izpēte tuvākajās ostās.</w:t>
      </w:r>
    </w:p>
    <w:p w14:paraId="611279EF" w14:textId="77777777" w:rsidR="00A27D88" w:rsidRDefault="00A27D88"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Izcenojumu aprēķina</w:t>
      </w:r>
      <w:r w:rsidR="00172F0B">
        <w:rPr>
          <w:rFonts w:ascii="Times New Roman" w:hAnsi="Times New Roman" w:cs="Times New Roman"/>
          <w:sz w:val="24"/>
          <w:szCs w:val="24"/>
        </w:rPr>
        <w:t>m izmanto sekojošas formulas:</w:t>
      </w:r>
    </w:p>
    <w:p w14:paraId="1CDCAD27" w14:textId="77777777" w:rsidR="00172F0B" w:rsidRDefault="00172F0B" w:rsidP="00312625">
      <w:pPr>
        <w:pStyle w:val="Sarakstarindkopa"/>
        <w:spacing w:after="0"/>
        <w:ind w:left="1080"/>
        <w:jc w:val="both"/>
        <w:rPr>
          <w:rFonts w:ascii="Times New Roman" w:hAnsi="Times New Roman" w:cs="Times New Roman"/>
          <w:sz w:val="24"/>
          <w:szCs w:val="24"/>
        </w:rPr>
      </w:pPr>
    </w:p>
    <w:p w14:paraId="58EB7726" w14:textId="77777777" w:rsidR="00172F0B" w:rsidRDefault="00172F0B" w:rsidP="00312625">
      <w:pPr>
        <w:pStyle w:val="Sarakstarindkopa"/>
        <w:spacing w:after="0"/>
        <w:ind w:left="1080"/>
        <w:jc w:val="both"/>
        <w:rPr>
          <w:rFonts w:ascii="Times New Roman" w:hAnsi="Times New Roman" w:cs="Times New Roman"/>
          <w:i/>
          <w:iCs/>
          <w:sz w:val="24"/>
          <w:szCs w:val="24"/>
        </w:rPr>
      </w:pPr>
      <w:r>
        <w:rPr>
          <w:rFonts w:ascii="Times New Roman" w:hAnsi="Times New Roman" w:cs="Times New Roman"/>
          <w:b/>
          <w:bCs/>
          <w:i/>
          <w:iCs/>
          <w:sz w:val="24"/>
          <w:szCs w:val="24"/>
        </w:rPr>
        <w:t xml:space="preserve">Viena sniegtā pakalpojuma vienības izcenojums = </w:t>
      </w:r>
      <w:r>
        <w:rPr>
          <w:rFonts w:ascii="Times New Roman" w:hAnsi="Times New Roman" w:cs="Times New Roman"/>
          <w:i/>
          <w:iCs/>
          <w:sz w:val="24"/>
          <w:szCs w:val="24"/>
        </w:rPr>
        <w:t>(tiešās izmaksas + netiešās izmaksas + neparedzētie 5%)</w:t>
      </w:r>
      <w:r w:rsidR="00B86E96">
        <w:rPr>
          <w:rFonts w:ascii="Times New Roman" w:hAnsi="Times New Roman" w:cs="Times New Roman"/>
          <w:sz w:val="24"/>
          <w:szCs w:val="24"/>
        </w:rPr>
        <w:t>/</w:t>
      </w:r>
      <w:r>
        <w:rPr>
          <w:rFonts w:ascii="Times New Roman" w:hAnsi="Times New Roman" w:cs="Times New Roman"/>
          <w:i/>
          <w:iCs/>
          <w:sz w:val="24"/>
          <w:szCs w:val="24"/>
        </w:rPr>
        <w:t>plānotais pakalpojuma vienību skaits.</w:t>
      </w:r>
    </w:p>
    <w:p w14:paraId="5C46DFAB" w14:textId="77777777" w:rsidR="00172F0B" w:rsidRDefault="00172F0B" w:rsidP="00312625">
      <w:pPr>
        <w:spacing w:after="0"/>
        <w:jc w:val="both"/>
        <w:rPr>
          <w:rFonts w:ascii="Times New Roman" w:hAnsi="Times New Roman" w:cs="Times New Roman"/>
          <w:sz w:val="24"/>
          <w:szCs w:val="24"/>
        </w:rPr>
      </w:pPr>
      <w:r>
        <w:rPr>
          <w:rFonts w:ascii="Times New Roman" w:hAnsi="Times New Roman" w:cs="Times New Roman"/>
          <w:sz w:val="24"/>
          <w:szCs w:val="24"/>
        </w:rPr>
        <w:t>vai</w:t>
      </w:r>
    </w:p>
    <w:p w14:paraId="58077CE8" w14:textId="77777777" w:rsidR="00172F0B" w:rsidRDefault="00172F0B" w:rsidP="00312625">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Viena sniegtā pakalpojuma vienības izcenojums = </w:t>
      </w:r>
      <w:r w:rsidRPr="00172F0B">
        <w:rPr>
          <w:rFonts w:ascii="Times New Roman" w:hAnsi="Times New Roman" w:cs="Times New Roman"/>
          <w:i/>
          <w:iCs/>
          <w:sz w:val="24"/>
          <w:szCs w:val="24"/>
        </w:rPr>
        <w:t>tiešās izmaksas</w:t>
      </w:r>
      <w:r>
        <w:rPr>
          <w:rFonts w:ascii="Times New Roman" w:hAnsi="Times New Roman" w:cs="Times New Roman"/>
          <w:i/>
          <w:iCs/>
          <w:sz w:val="24"/>
          <w:szCs w:val="24"/>
        </w:rPr>
        <w:t xml:space="preserve"> uz        vienu pakalpojuma vienību + netiešās izmaksas/plānotais pakalpojumu skaits + pieskaitījums 5%</w:t>
      </w:r>
    </w:p>
    <w:p w14:paraId="324FA88C" w14:textId="77777777" w:rsidR="00172F0B" w:rsidRDefault="00172F0B" w:rsidP="003126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501DBA7" w14:textId="77777777" w:rsidR="00172F0B" w:rsidRPr="00172F0B" w:rsidRDefault="00172F0B" w:rsidP="00312625">
      <w:pPr>
        <w:spacing w:after="0"/>
        <w:jc w:val="both"/>
        <w:rPr>
          <w:rFonts w:ascii="Times New Roman" w:hAnsi="Times New Roman" w:cs="Times New Roman"/>
          <w:sz w:val="24"/>
          <w:szCs w:val="24"/>
        </w:rPr>
      </w:pPr>
    </w:p>
    <w:p w14:paraId="23545283" w14:textId="77777777" w:rsidR="00B41EC9" w:rsidRDefault="00172F0B"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Tiešās izmaksas ir izmaksas, kas ir tieši attiecināmas uz ostu maksas pakalpojuma sniegšanu. Šīs izmaksas ietver pakalpojuma sniegšanai izlietoto materiālu iegādes izmaksas, tiešos izdevumus darba samaksai</w:t>
      </w:r>
      <w:r w:rsidR="00A5057F">
        <w:rPr>
          <w:rFonts w:ascii="Times New Roman" w:hAnsi="Times New Roman" w:cs="Times New Roman"/>
          <w:sz w:val="24"/>
          <w:szCs w:val="24"/>
        </w:rPr>
        <w:t>, kā arī ar šo  samaksu  saistītās valsts</w:t>
      </w:r>
      <w:r w:rsidR="00B86E96">
        <w:rPr>
          <w:rFonts w:ascii="Times New Roman" w:hAnsi="Times New Roman" w:cs="Times New Roman"/>
          <w:sz w:val="24"/>
          <w:szCs w:val="24"/>
        </w:rPr>
        <w:t xml:space="preserve"> </w:t>
      </w:r>
      <w:r w:rsidR="00A5057F">
        <w:rPr>
          <w:rFonts w:ascii="Times New Roman" w:hAnsi="Times New Roman" w:cs="Times New Roman"/>
          <w:sz w:val="24"/>
          <w:szCs w:val="24"/>
        </w:rPr>
        <w:t>sociālās apdrošināšanas obligātās iemaksa, pakalpojumu (energoresursu, ūdens un citu komunālo pakalpojumu u.c.) apmaksu, kas tieši saistīti ar konkrētā pakalpojuma nodrošināšanu, pamatlīdzekļu nolietojuma izmaksas, ja tās ir tieši attiecināmas uz konkrētā pakalpojuma sniegšanu.</w:t>
      </w:r>
    </w:p>
    <w:p w14:paraId="74EE31F2" w14:textId="77777777" w:rsidR="00A5057F" w:rsidRDefault="00A5057F"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Netiešās izmaksas ir visas pārējās Pāvilostas ostas izmaksas, tās ir izmaksas, kas ir netieši saistītas ar attiecīgās ostas maksas pakalpojuma sniegšanu, piemēram, iestādes vadībā un administrācijā nodarbināto darbinieku un citu darbinieku darba algas un ar šīm algām saistītās valsts sociālās apdrošināšanas obligātās iemaksas, pamatlīdzekļu remonta un ekspluatācijas izdevumi, biroja uzturēšana, t.sk., apkures un elektrības izdevumi, pamatlīdzekļu nolietojums, nomas maksa un</w:t>
      </w:r>
      <w:r w:rsidR="0079100F">
        <w:rPr>
          <w:rFonts w:ascii="Times New Roman" w:hAnsi="Times New Roman" w:cs="Times New Roman"/>
          <w:sz w:val="24"/>
          <w:szCs w:val="24"/>
        </w:rPr>
        <w:t xml:space="preserve"> </w:t>
      </w:r>
      <w:r>
        <w:rPr>
          <w:rFonts w:ascii="Times New Roman" w:hAnsi="Times New Roman" w:cs="Times New Roman"/>
          <w:sz w:val="24"/>
          <w:szCs w:val="24"/>
        </w:rPr>
        <w:t xml:space="preserve">apdrošināšanas maksājumi, vispārējās nozīmes materiāli un citi </w:t>
      </w:r>
      <w:r w:rsidR="0079100F">
        <w:rPr>
          <w:rFonts w:ascii="Times New Roman" w:hAnsi="Times New Roman" w:cs="Times New Roman"/>
          <w:sz w:val="24"/>
          <w:szCs w:val="24"/>
        </w:rPr>
        <w:t>ar attiecīgā maksas pakalpojuma sniegšanu netieši saistīti izdevumi.</w:t>
      </w:r>
    </w:p>
    <w:p w14:paraId="70FF0041" w14:textId="77777777" w:rsidR="0079100F" w:rsidRDefault="0079100F"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Kritēriju izmaksu klasificēšanai tiešajās un netiešajās izmaksās, kā arī netiešo izmaksu attiecināšanai uz konkrēto maksas pakalpojuma veidu Pāvilostas ostas pārvalde nosaka, pamatojoties uz konkrētās ostas maksas pakalpojuma un tā sniegšanas specifiku.</w:t>
      </w:r>
    </w:p>
    <w:p w14:paraId="01B9BAD3" w14:textId="77777777" w:rsidR="0079100F" w:rsidRDefault="001C7ED5" w:rsidP="00312625">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Izmaksu aprēķinam var izmantot sekojošu informāciju – iepriekšējā pārskata gada faktiskās izmaksas vai pārskata gadam plānotās izmaksas. Gadījumos, kad būtiski mainījušās iepirkto preču un pakalpojumu cenas, izmaksu aprēķiniem izmanto pārskata gadam plānotās izmaksas</w:t>
      </w:r>
      <w:r w:rsidR="00A94487">
        <w:rPr>
          <w:rFonts w:ascii="Times New Roman" w:hAnsi="Times New Roman" w:cs="Times New Roman"/>
          <w:sz w:val="24"/>
          <w:szCs w:val="24"/>
        </w:rPr>
        <w:t xml:space="preserve"> un aktuālās preču un pakalpojumu cenas.</w:t>
      </w:r>
    </w:p>
    <w:p w14:paraId="101BA2A6" w14:textId="77777777" w:rsidR="00312625" w:rsidRDefault="00312625" w:rsidP="00312625">
      <w:pPr>
        <w:pStyle w:val="Sarakstarindkopa"/>
        <w:spacing w:after="0"/>
        <w:ind w:left="1080"/>
        <w:jc w:val="both"/>
        <w:rPr>
          <w:rFonts w:ascii="Times New Roman" w:hAnsi="Times New Roman" w:cs="Times New Roman"/>
          <w:sz w:val="24"/>
          <w:szCs w:val="24"/>
        </w:rPr>
      </w:pPr>
    </w:p>
    <w:p w14:paraId="7473F465" w14:textId="77777777" w:rsidR="00312625" w:rsidRDefault="00312625" w:rsidP="00312625">
      <w:pPr>
        <w:pStyle w:val="Sarakstarindkopa"/>
        <w:spacing w:after="0"/>
        <w:ind w:left="1080"/>
        <w:jc w:val="both"/>
        <w:rPr>
          <w:rFonts w:ascii="Times New Roman" w:hAnsi="Times New Roman" w:cs="Times New Roman"/>
          <w:sz w:val="24"/>
          <w:szCs w:val="24"/>
        </w:rPr>
      </w:pPr>
    </w:p>
    <w:p w14:paraId="389945D1" w14:textId="77777777" w:rsidR="00312625" w:rsidRDefault="00312625" w:rsidP="00312625">
      <w:pPr>
        <w:pStyle w:val="Sarakstarindkopa"/>
        <w:spacing w:after="0"/>
        <w:ind w:left="1080"/>
        <w:jc w:val="both"/>
        <w:rPr>
          <w:rFonts w:ascii="Times New Roman" w:hAnsi="Times New Roman" w:cs="Times New Roman"/>
          <w:sz w:val="24"/>
          <w:szCs w:val="24"/>
        </w:rPr>
      </w:pPr>
    </w:p>
    <w:p w14:paraId="4D40D1D8" w14:textId="77777777" w:rsidR="00A94487" w:rsidRPr="00502497" w:rsidRDefault="00502497" w:rsidP="00312625">
      <w:pPr>
        <w:pStyle w:val="Sarakstarindkopa"/>
        <w:numPr>
          <w:ilvl w:val="0"/>
          <w:numId w:val="2"/>
        </w:num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Ostas pakalpojumu  tarifu izcenojumu apstiprināšanas</w:t>
      </w:r>
      <w:r w:rsidR="001319BB">
        <w:rPr>
          <w:rFonts w:ascii="Times New Roman" w:hAnsi="Times New Roman" w:cs="Times New Roman"/>
          <w:b/>
          <w:bCs/>
          <w:sz w:val="24"/>
          <w:szCs w:val="24"/>
        </w:rPr>
        <w:t xml:space="preserve"> un spēkā stāšanās</w:t>
      </w:r>
      <w:r>
        <w:rPr>
          <w:rFonts w:ascii="Times New Roman" w:hAnsi="Times New Roman" w:cs="Times New Roman"/>
          <w:b/>
          <w:bCs/>
          <w:sz w:val="24"/>
          <w:szCs w:val="24"/>
        </w:rPr>
        <w:t xml:space="preserve"> kārtība</w:t>
      </w:r>
    </w:p>
    <w:p w14:paraId="4ABF3738" w14:textId="77777777" w:rsidR="00502497" w:rsidRPr="00502497" w:rsidRDefault="00502497" w:rsidP="00312625">
      <w:pPr>
        <w:pStyle w:val="Sarakstarindkopa"/>
        <w:numPr>
          <w:ilvl w:val="1"/>
          <w:numId w:val="2"/>
        </w:numPr>
        <w:spacing w:after="0"/>
        <w:jc w:val="both"/>
        <w:rPr>
          <w:rFonts w:ascii="Times New Roman" w:hAnsi="Times New Roman" w:cs="Times New Roman"/>
          <w:sz w:val="24"/>
          <w:szCs w:val="24"/>
        </w:rPr>
      </w:pPr>
      <w:r w:rsidRPr="00502497">
        <w:rPr>
          <w:rFonts w:ascii="Times New Roman" w:hAnsi="Times New Roman" w:cs="Times New Roman"/>
          <w:sz w:val="24"/>
          <w:szCs w:val="24"/>
        </w:rPr>
        <w:t>Ostas pakalpojumu  tarifu izcenojumu un maksas pakalpojumu izcenojumi tiek pārskatīti ne retāk kā reizi 2 gados un gadījumos, kad:</w:t>
      </w:r>
    </w:p>
    <w:p w14:paraId="24B63178" w14:textId="77777777" w:rsidR="00502497" w:rsidRDefault="00502497" w:rsidP="00312625">
      <w:pPr>
        <w:pStyle w:val="Sarakstarindko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ir izdarīti grozījumi normatīvajos aktos vai mainījušies apstākļi, kas ietekmē iestādes sniedzamo pakalpojumu klāstu;</w:t>
      </w:r>
    </w:p>
    <w:p w14:paraId="7C947F10" w14:textId="77777777" w:rsidR="00502497" w:rsidRDefault="00502497" w:rsidP="00312625">
      <w:pPr>
        <w:pStyle w:val="Sarakstarindko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ir būtiski mainījušās(samazinājušās vai palielinājušās) tiešas vai netiešās izmaksas, kuras veido maksas pakalpojumu izcenojumus inflācijas, vai citu faktoru ietekmē;</w:t>
      </w:r>
    </w:p>
    <w:p w14:paraId="67DB8B09" w14:textId="77777777" w:rsidR="00502497" w:rsidRDefault="00502497" w:rsidP="00312625">
      <w:pPr>
        <w:pStyle w:val="Sarakstarindko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ir būtiski mainījies plānoto maksas pakalpojumu vienību skaits noteiktā laika posmā, ka tas būtiski ietekmē vienas pakalpojumu vienības sniegšanas izmaksas.</w:t>
      </w:r>
    </w:p>
    <w:p w14:paraId="6C71CCC8" w14:textId="77777777" w:rsidR="001319BB" w:rsidRDefault="001319BB" w:rsidP="00312625">
      <w:pPr>
        <w:spacing w:after="0"/>
        <w:jc w:val="both"/>
        <w:rPr>
          <w:rFonts w:ascii="Times New Roman" w:hAnsi="Times New Roman" w:cs="Times New Roman"/>
          <w:sz w:val="24"/>
          <w:szCs w:val="24"/>
        </w:rPr>
      </w:pPr>
    </w:p>
    <w:p w14:paraId="64C9FFCD" w14:textId="77777777" w:rsidR="00502497" w:rsidRPr="001319BB" w:rsidRDefault="001319BB" w:rsidP="00312625">
      <w:pPr>
        <w:pStyle w:val="Sarakstarindkopa"/>
        <w:numPr>
          <w:ilvl w:val="1"/>
          <w:numId w:val="2"/>
        </w:numPr>
        <w:spacing w:after="0"/>
        <w:jc w:val="both"/>
        <w:rPr>
          <w:rFonts w:ascii="Times New Roman" w:hAnsi="Times New Roman" w:cs="Times New Roman"/>
          <w:sz w:val="24"/>
          <w:szCs w:val="24"/>
        </w:rPr>
      </w:pPr>
      <w:r w:rsidRPr="001319BB">
        <w:rPr>
          <w:rFonts w:ascii="Times New Roman" w:hAnsi="Times New Roman" w:cs="Times New Roman"/>
          <w:sz w:val="24"/>
          <w:szCs w:val="24"/>
        </w:rPr>
        <w:t>Ostas pakalpojumu tarifi un maksas pakalpojumu izcenojumi pēc to apstiprināšanas tiek publicēti Pāvilostas ostas pārvaldes tīmekļvietnē un</w:t>
      </w:r>
      <w:r>
        <w:rPr>
          <w:rFonts w:ascii="Times New Roman" w:hAnsi="Times New Roman" w:cs="Times New Roman"/>
          <w:sz w:val="24"/>
          <w:szCs w:val="24"/>
        </w:rPr>
        <w:t xml:space="preserve"> </w:t>
      </w:r>
      <w:r w:rsidRPr="001319BB">
        <w:rPr>
          <w:rFonts w:ascii="Times New Roman" w:hAnsi="Times New Roman" w:cs="Times New Roman"/>
          <w:sz w:val="24"/>
          <w:szCs w:val="24"/>
        </w:rPr>
        <w:t>oficiālajā izdevumā “Latvijas Vēstnesis” un stājas spēkā ne agrāk kā divus mēnešus pēc to publicēšanas oficiālajā izdevumā “Latvijas Vēstnesis”</w:t>
      </w:r>
    </w:p>
    <w:p w14:paraId="34675216" w14:textId="77777777" w:rsidR="00502497" w:rsidRDefault="00502497" w:rsidP="00502497">
      <w:pPr>
        <w:spacing w:after="0"/>
        <w:rPr>
          <w:rFonts w:ascii="Times New Roman" w:hAnsi="Times New Roman" w:cs="Times New Roman"/>
          <w:sz w:val="24"/>
          <w:szCs w:val="24"/>
        </w:rPr>
      </w:pPr>
    </w:p>
    <w:p w14:paraId="7AC4DE12" w14:textId="77777777" w:rsidR="001319BB" w:rsidRDefault="001319BB" w:rsidP="00502497">
      <w:pPr>
        <w:spacing w:after="0"/>
        <w:rPr>
          <w:rFonts w:ascii="Times New Roman" w:hAnsi="Times New Roman" w:cs="Times New Roman"/>
          <w:sz w:val="24"/>
          <w:szCs w:val="24"/>
        </w:rPr>
      </w:pPr>
    </w:p>
    <w:p w14:paraId="6D884EB3" w14:textId="77777777" w:rsidR="001319BB" w:rsidRDefault="001319BB" w:rsidP="00502497">
      <w:pPr>
        <w:spacing w:after="0"/>
        <w:rPr>
          <w:rFonts w:ascii="Times New Roman" w:hAnsi="Times New Roman" w:cs="Times New Roman"/>
          <w:sz w:val="24"/>
          <w:szCs w:val="24"/>
        </w:rPr>
      </w:pPr>
    </w:p>
    <w:p w14:paraId="2140141A" w14:textId="77777777" w:rsidR="001319BB" w:rsidRDefault="001319BB" w:rsidP="00502497">
      <w:pPr>
        <w:spacing w:after="0"/>
        <w:rPr>
          <w:rFonts w:ascii="Times New Roman" w:hAnsi="Times New Roman" w:cs="Times New Roman"/>
          <w:sz w:val="24"/>
          <w:szCs w:val="24"/>
        </w:rPr>
      </w:pPr>
    </w:p>
    <w:p w14:paraId="324FF2A7" w14:textId="77777777" w:rsidR="00502497" w:rsidRPr="00502497" w:rsidRDefault="00612194" w:rsidP="00502497">
      <w:pPr>
        <w:spacing w:after="0"/>
        <w:rPr>
          <w:rFonts w:ascii="Times New Roman" w:hAnsi="Times New Roman" w:cs="Times New Roman"/>
          <w:sz w:val="24"/>
          <w:szCs w:val="24"/>
        </w:rPr>
      </w:pPr>
      <w:r>
        <w:rPr>
          <w:rFonts w:ascii="Times New Roman" w:hAnsi="Times New Roman" w:cs="Times New Roman"/>
          <w:sz w:val="24"/>
          <w:szCs w:val="24"/>
        </w:rPr>
        <w:t>Pāvilostas ostas pārvaldes pārvaldnieks:                                           Artis Rimma</w:t>
      </w:r>
    </w:p>
    <w:p w14:paraId="401CB5E7" w14:textId="77777777" w:rsidR="003D2149" w:rsidRDefault="003D2149" w:rsidP="00483B2F">
      <w:pPr>
        <w:spacing w:after="0"/>
        <w:jc w:val="right"/>
        <w:rPr>
          <w:rFonts w:ascii="Times New Roman" w:hAnsi="Times New Roman" w:cs="Times New Roman"/>
        </w:rPr>
      </w:pPr>
    </w:p>
    <w:p w14:paraId="287B3277" w14:textId="77777777" w:rsidR="003F0D87" w:rsidRDefault="003F0D87" w:rsidP="00483B2F">
      <w:pPr>
        <w:spacing w:after="0"/>
        <w:jc w:val="right"/>
        <w:rPr>
          <w:rFonts w:ascii="Times New Roman" w:hAnsi="Times New Roman" w:cs="Times New Roman"/>
        </w:rPr>
      </w:pPr>
    </w:p>
    <w:p w14:paraId="194BC704" w14:textId="77777777" w:rsidR="003F0D87" w:rsidRDefault="003F0D87" w:rsidP="00483B2F">
      <w:pPr>
        <w:spacing w:after="0"/>
        <w:jc w:val="right"/>
        <w:rPr>
          <w:rFonts w:ascii="Times New Roman" w:hAnsi="Times New Roman" w:cs="Times New Roman"/>
        </w:rPr>
      </w:pPr>
    </w:p>
    <w:p w14:paraId="0B1E9862" w14:textId="77777777" w:rsidR="003F0D87" w:rsidRDefault="003F0D87" w:rsidP="00483B2F">
      <w:pPr>
        <w:spacing w:after="0"/>
        <w:jc w:val="right"/>
        <w:rPr>
          <w:rFonts w:ascii="Times New Roman" w:hAnsi="Times New Roman" w:cs="Times New Roman"/>
        </w:rPr>
      </w:pPr>
    </w:p>
    <w:p w14:paraId="2FC8965C" w14:textId="77777777" w:rsidR="003F0D87" w:rsidRDefault="003F0D87" w:rsidP="00483B2F">
      <w:pPr>
        <w:spacing w:after="0"/>
        <w:jc w:val="right"/>
        <w:rPr>
          <w:rFonts w:ascii="Times New Roman" w:hAnsi="Times New Roman" w:cs="Times New Roman"/>
        </w:rPr>
      </w:pPr>
    </w:p>
    <w:p w14:paraId="3D3D0816" w14:textId="77777777" w:rsidR="003F0D87" w:rsidRDefault="003F0D87" w:rsidP="00483B2F">
      <w:pPr>
        <w:spacing w:after="0"/>
        <w:jc w:val="right"/>
        <w:rPr>
          <w:rFonts w:ascii="Times New Roman" w:hAnsi="Times New Roman" w:cs="Times New Roman"/>
        </w:rPr>
      </w:pPr>
    </w:p>
    <w:p w14:paraId="696C0477" w14:textId="77777777" w:rsidR="003F0D87" w:rsidRDefault="003F0D87" w:rsidP="00483B2F">
      <w:pPr>
        <w:spacing w:after="0"/>
        <w:jc w:val="right"/>
        <w:rPr>
          <w:rFonts w:ascii="Times New Roman" w:hAnsi="Times New Roman" w:cs="Times New Roman"/>
        </w:rPr>
      </w:pPr>
    </w:p>
    <w:p w14:paraId="6FF42637" w14:textId="77777777" w:rsidR="003F0D87" w:rsidRDefault="003F0D87" w:rsidP="00483B2F">
      <w:pPr>
        <w:spacing w:after="0"/>
        <w:jc w:val="right"/>
        <w:rPr>
          <w:rFonts w:ascii="Times New Roman" w:hAnsi="Times New Roman" w:cs="Times New Roman"/>
        </w:rPr>
      </w:pPr>
    </w:p>
    <w:p w14:paraId="046AF5C8" w14:textId="77777777" w:rsidR="003F0D87" w:rsidRDefault="003F0D87" w:rsidP="00483B2F">
      <w:pPr>
        <w:spacing w:after="0"/>
        <w:jc w:val="right"/>
        <w:rPr>
          <w:rFonts w:ascii="Times New Roman" w:hAnsi="Times New Roman" w:cs="Times New Roman"/>
        </w:rPr>
      </w:pPr>
    </w:p>
    <w:p w14:paraId="1663BF6B" w14:textId="77777777" w:rsidR="003F0D87" w:rsidRDefault="003F0D87" w:rsidP="00483B2F">
      <w:pPr>
        <w:spacing w:after="0"/>
        <w:jc w:val="right"/>
        <w:rPr>
          <w:rFonts w:ascii="Times New Roman" w:hAnsi="Times New Roman" w:cs="Times New Roman"/>
        </w:rPr>
      </w:pPr>
    </w:p>
    <w:p w14:paraId="0BB32379" w14:textId="77777777" w:rsidR="003F0D87" w:rsidRDefault="003F0D87" w:rsidP="00483B2F">
      <w:pPr>
        <w:spacing w:after="0"/>
        <w:jc w:val="right"/>
        <w:rPr>
          <w:rFonts w:ascii="Times New Roman" w:hAnsi="Times New Roman" w:cs="Times New Roman"/>
        </w:rPr>
      </w:pPr>
    </w:p>
    <w:p w14:paraId="726483E3" w14:textId="77777777" w:rsidR="003F0D87" w:rsidRDefault="003F0D87" w:rsidP="00483B2F">
      <w:pPr>
        <w:spacing w:after="0"/>
        <w:jc w:val="right"/>
        <w:rPr>
          <w:rFonts w:ascii="Times New Roman" w:hAnsi="Times New Roman" w:cs="Times New Roman"/>
        </w:rPr>
      </w:pPr>
    </w:p>
    <w:p w14:paraId="15249EBE" w14:textId="77777777" w:rsidR="003F0D87" w:rsidRDefault="003F0D87" w:rsidP="00483B2F">
      <w:pPr>
        <w:spacing w:after="0"/>
        <w:jc w:val="right"/>
        <w:rPr>
          <w:rFonts w:ascii="Times New Roman" w:hAnsi="Times New Roman" w:cs="Times New Roman"/>
        </w:rPr>
      </w:pPr>
    </w:p>
    <w:p w14:paraId="38EA9B7E" w14:textId="77777777" w:rsidR="003F0D87" w:rsidRDefault="003F0D87" w:rsidP="00483B2F">
      <w:pPr>
        <w:spacing w:after="0"/>
        <w:jc w:val="right"/>
        <w:rPr>
          <w:rFonts w:ascii="Times New Roman" w:hAnsi="Times New Roman" w:cs="Times New Roman"/>
        </w:rPr>
      </w:pPr>
    </w:p>
    <w:p w14:paraId="1B5BFAA8" w14:textId="77777777" w:rsidR="003F0D87" w:rsidRDefault="003F0D87" w:rsidP="00483B2F">
      <w:pPr>
        <w:spacing w:after="0"/>
        <w:jc w:val="right"/>
        <w:rPr>
          <w:rFonts w:ascii="Times New Roman" w:hAnsi="Times New Roman" w:cs="Times New Roman"/>
        </w:rPr>
      </w:pPr>
    </w:p>
    <w:p w14:paraId="32ABB641" w14:textId="77777777" w:rsidR="003F0D87" w:rsidRDefault="003F0D87" w:rsidP="00483B2F">
      <w:pPr>
        <w:spacing w:after="0"/>
        <w:jc w:val="right"/>
        <w:rPr>
          <w:rFonts w:ascii="Times New Roman" w:hAnsi="Times New Roman" w:cs="Times New Roman"/>
        </w:rPr>
      </w:pPr>
    </w:p>
    <w:p w14:paraId="007BB070" w14:textId="77777777" w:rsidR="003F0D87" w:rsidRDefault="003F0D87" w:rsidP="00483B2F">
      <w:pPr>
        <w:spacing w:after="0"/>
        <w:jc w:val="right"/>
        <w:rPr>
          <w:rFonts w:ascii="Times New Roman" w:hAnsi="Times New Roman" w:cs="Times New Roman"/>
        </w:rPr>
      </w:pPr>
    </w:p>
    <w:p w14:paraId="242C5D7B" w14:textId="77777777" w:rsidR="003F0D87" w:rsidRDefault="003F0D87" w:rsidP="00483B2F">
      <w:pPr>
        <w:spacing w:after="0"/>
        <w:jc w:val="right"/>
        <w:rPr>
          <w:rFonts w:ascii="Times New Roman" w:hAnsi="Times New Roman" w:cs="Times New Roman"/>
        </w:rPr>
      </w:pPr>
    </w:p>
    <w:p w14:paraId="550AF247" w14:textId="77777777" w:rsidR="003F0D87" w:rsidRDefault="003F0D87" w:rsidP="00483B2F">
      <w:pPr>
        <w:spacing w:after="0"/>
        <w:jc w:val="right"/>
        <w:rPr>
          <w:rFonts w:ascii="Times New Roman" w:hAnsi="Times New Roman" w:cs="Times New Roman"/>
        </w:rPr>
      </w:pPr>
    </w:p>
    <w:p w14:paraId="1FFD74C9" w14:textId="77777777" w:rsidR="003F0D87" w:rsidRDefault="003F0D87" w:rsidP="00483B2F">
      <w:pPr>
        <w:spacing w:after="0"/>
        <w:jc w:val="right"/>
        <w:rPr>
          <w:rFonts w:ascii="Times New Roman" w:hAnsi="Times New Roman" w:cs="Times New Roman"/>
        </w:rPr>
      </w:pPr>
    </w:p>
    <w:p w14:paraId="5975FCDD" w14:textId="77777777" w:rsidR="003F0D87" w:rsidRDefault="003F0D87" w:rsidP="00483B2F">
      <w:pPr>
        <w:spacing w:after="0"/>
        <w:jc w:val="right"/>
        <w:rPr>
          <w:rFonts w:ascii="Times New Roman" w:hAnsi="Times New Roman" w:cs="Times New Roman"/>
        </w:rPr>
      </w:pPr>
    </w:p>
    <w:p w14:paraId="1E728CD1" w14:textId="77777777" w:rsidR="003F0D87" w:rsidRDefault="003F0D87" w:rsidP="00483B2F">
      <w:pPr>
        <w:spacing w:after="0"/>
        <w:jc w:val="right"/>
        <w:rPr>
          <w:rFonts w:ascii="Times New Roman" w:hAnsi="Times New Roman" w:cs="Times New Roman"/>
        </w:rPr>
      </w:pPr>
    </w:p>
    <w:p w14:paraId="2B91024C" w14:textId="77777777" w:rsidR="003F0D87" w:rsidRDefault="003F0D87" w:rsidP="00084E9B">
      <w:pPr>
        <w:spacing w:after="0"/>
        <w:jc w:val="center"/>
        <w:rPr>
          <w:rFonts w:ascii="Times New Roman" w:hAnsi="Times New Roman" w:cs="Times New Roman"/>
        </w:rPr>
      </w:pPr>
    </w:p>
    <w:p w14:paraId="239E0A9B" w14:textId="77777777" w:rsidR="00084E9B" w:rsidRDefault="00084E9B" w:rsidP="00084E9B">
      <w:pPr>
        <w:spacing w:after="0"/>
        <w:jc w:val="center"/>
        <w:rPr>
          <w:rFonts w:ascii="Times New Roman" w:hAnsi="Times New Roman" w:cs="Times New Roman"/>
        </w:rPr>
      </w:pPr>
    </w:p>
    <w:p w14:paraId="6A0E3EF6" w14:textId="77777777" w:rsidR="00084E9B" w:rsidRDefault="00084E9B" w:rsidP="00084E9B">
      <w:pPr>
        <w:spacing w:after="0"/>
        <w:jc w:val="center"/>
        <w:rPr>
          <w:rFonts w:ascii="Times New Roman" w:hAnsi="Times New Roman" w:cs="Times New Roman"/>
        </w:rPr>
      </w:pPr>
    </w:p>
    <w:p w14:paraId="7511E550" w14:textId="77777777" w:rsidR="003F0D87" w:rsidRDefault="003F0D87" w:rsidP="00483B2F">
      <w:pPr>
        <w:spacing w:after="0"/>
        <w:jc w:val="right"/>
        <w:rPr>
          <w:rFonts w:ascii="Times New Roman" w:hAnsi="Times New Roman" w:cs="Times New Roman"/>
        </w:rPr>
      </w:pPr>
    </w:p>
    <w:p w14:paraId="4A9727BF" w14:textId="77777777" w:rsidR="003F0D87" w:rsidRDefault="003F0D87" w:rsidP="00CA467E">
      <w:pPr>
        <w:spacing w:after="0"/>
        <w:rPr>
          <w:rFonts w:ascii="Times New Roman" w:hAnsi="Times New Roman" w:cs="Times New Roman"/>
        </w:rPr>
      </w:pPr>
    </w:p>
    <w:p w14:paraId="23DCA3A1" w14:textId="77777777" w:rsidR="00CA467E" w:rsidRDefault="00CA467E" w:rsidP="00CA467E">
      <w:pPr>
        <w:spacing w:after="0"/>
        <w:rPr>
          <w:rFonts w:ascii="Times New Roman" w:hAnsi="Times New Roman" w:cs="Times New Roman"/>
        </w:rPr>
      </w:pPr>
    </w:p>
    <w:p w14:paraId="627E17C6" w14:textId="77777777" w:rsidR="003F0D87" w:rsidRDefault="003F0D87" w:rsidP="00483B2F">
      <w:pPr>
        <w:spacing w:after="0"/>
        <w:jc w:val="right"/>
        <w:rPr>
          <w:rFonts w:ascii="Times New Roman" w:hAnsi="Times New Roman" w:cs="Times New Roman"/>
        </w:rPr>
      </w:pPr>
    </w:p>
    <w:p w14:paraId="1A63014A" w14:textId="77777777" w:rsidR="003F0D87" w:rsidRDefault="003F0D87" w:rsidP="00483B2F">
      <w:pPr>
        <w:spacing w:after="0"/>
        <w:jc w:val="right"/>
        <w:rPr>
          <w:rFonts w:ascii="Times New Roman" w:hAnsi="Times New Roman" w:cs="Times New Roman"/>
        </w:rPr>
      </w:pPr>
      <w:r>
        <w:rPr>
          <w:rFonts w:ascii="Times New Roman" w:hAnsi="Times New Roman" w:cs="Times New Roman"/>
        </w:rPr>
        <w:t>Pielikums</w:t>
      </w:r>
    </w:p>
    <w:p w14:paraId="0CC2FD1A" w14:textId="0FAD0329" w:rsidR="003F0D87" w:rsidRDefault="003F0D87" w:rsidP="00483B2F">
      <w:pPr>
        <w:spacing w:after="0"/>
        <w:jc w:val="right"/>
        <w:rPr>
          <w:rFonts w:ascii="Times New Roman" w:hAnsi="Times New Roman" w:cs="Times New Roman"/>
        </w:rPr>
      </w:pPr>
      <w:r>
        <w:rPr>
          <w:rFonts w:ascii="Times New Roman" w:hAnsi="Times New Roman" w:cs="Times New Roman"/>
        </w:rPr>
        <w:t>Pāvilostas ostas pārvalde</w:t>
      </w:r>
      <w:r w:rsidR="00084E9B">
        <w:rPr>
          <w:rFonts w:ascii="Times New Roman" w:hAnsi="Times New Roman" w:cs="Times New Roman"/>
        </w:rPr>
        <w:t>s piestātņu maksu</w:t>
      </w:r>
    </w:p>
    <w:p w14:paraId="04A75A76" w14:textId="1BF7B854" w:rsidR="00084E9B" w:rsidRDefault="00084E9B" w:rsidP="00483B2F">
      <w:pPr>
        <w:spacing w:after="0"/>
        <w:jc w:val="right"/>
        <w:rPr>
          <w:rFonts w:ascii="Times New Roman" w:hAnsi="Times New Roman" w:cs="Times New Roman"/>
        </w:rPr>
      </w:pPr>
      <w:r>
        <w:rPr>
          <w:rFonts w:ascii="Times New Roman" w:hAnsi="Times New Roman" w:cs="Times New Roman"/>
        </w:rPr>
        <w:t>un maksas pakalpojumu izcenojumu noteikšanas metodikai</w:t>
      </w:r>
    </w:p>
    <w:p w14:paraId="4DE8A9D6" w14:textId="77777777" w:rsidR="00084E9B" w:rsidRDefault="00084E9B" w:rsidP="00483B2F">
      <w:pPr>
        <w:spacing w:after="0"/>
        <w:jc w:val="right"/>
        <w:rPr>
          <w:rFonts w:ascii="Times New Roman" w:hAnsi="Times New Roman" w:cs="Times New Roman"/>
        </w:rPr>
      </w:pPr>
    </w:p>
    <w:p w14:paraId="2F747F73" w14:textId="77777777" w:rsidR="003F0D87" w:rsidRDefault="003F0D87" w:rsidP="00483B2F">
      <w:pPr>
        <w:spacing w:after="0"/>
        <w:jc w:val="right"/>
        <w:rPr>
          <w:rFonts w:ascii="Times New Roman" w:hAnsi="Times New Roman" w:cs="Times New Roman"/>
        </w:rPr>
      </w:pPr>
    </w:p>
    <w:p w14:paraId="234A30AD" w14:textId="77777777" w:rsidR="003F0D87" w:rsidRPr="003F0D87" w:rsidRDefault="003F0D87" w:rsidP="003F0D87">
      <w:pPr>
        <w:spacing w:after="0"/>
        <w:rPr>
          <w:rFonts w:ascii="Times New Roman" w:hAnsi="Times New Roman" w:cs="Times New Roman"/>
          <w:i/>
          <w:iCs/>
        </w:rPr>
      </w:pPr>
      <w:r w:rsidRPr="003F0D87">
        <w:rPr>
          <w:rFonts w:ascii="Times New Roman" w:hAnsi="Times New Roman" w:cs="Times New Roman"/>
          <w:i/>
          <w:iCs/>
        </w:rPr>
        <w:t xml:space="preserve">Ostas maksas pakalpojuma </w:t>
      </w:r>
    </w:p>
    <w:p w14:paraId="703A24C7" w14:textId="77777777" w:rsidR="00E4195A" w:rsidRDefault="003F0D87" w:rsidP="003F0D87">
      <w:pPr>
        <w:spacing w:after="0"/>
        <w:rPr>
          <w:rFonts w:ascii="Times New Roman" w:hAnsi="Times New Roman" w:cs="Times New Roman"/>
        </w:rPr>
      </w:pPr>
      <w:r w:rsidRPr="003F0D87">
        <w:rPr>
          <w:rFonts w:ascii="Times New Roman" w:hAnsi="Times New Roman" w:cs="Times New Roman"/>
          <w:i/>
          <w:iCs/>
        </w:rPr>
        <w:t>izcenojuma nosaukums</w:t>
      </w:r>
      <w:r w:rsidR="00483B2F">
        <w:rPr>
          <w:rFonts w:ascii="Times New Roman" w:hAnsi="Times New Roman" w:cs="Times New Roman"/>
        </w:rPr>
        <w:t xml:space="preserve"> </w:t>
      </w:r>
    </w:p>
    <w:p w14:paraId="01A1CE86" w14:textId="77777777" w:rsidR="003F0D87" w:rsidRDefault="003F0D87" w:rsidP="003F0D87">
      <w:pPr>
        <w:spacing w:after="0"/>
        <w:rPr>
          <w:rFonts w:ascii="Times New Roman" w:hAnsi="Times New Roman" w:cs="Times New Roman"/>
        </w:rPr>
      </w:pPr>
    </w:p>
    <w:tbl>
      <w:tblPr>
        <w:tblStyle w:val="Reatabula"/>
        <w:tblW w:w="0" w:type="auto"/>
        <w:tblLook w:val="04A0" w:firstRow="1" w:lastRow="0" w:firstColumn="1" w:lastColumn="0" w:noHBand="0" w:noVBand="1"/>
      </w:tblPr>
      <w:tblGrid>
        <w:gridCol w:w="4106"/>
        <w:gridCol w:w="1424"/>
        <w:gridCol w:w="2766"/>
      </w:tblGrid>
      <w:tr w:rsidR="00E4195A" w14:paraId="4C957BB8" w14:textId="77777777" w:rsidTr="003A5A37">
        <w:trPr>
          <w:trHeight w:val="1491"/>
        </w:trPr>
        <w:tc>
          <w:tcPr>
            <w:tcW w:w="4106" w:type="dxa"/>
            <w:shd w:val="clear" w:color="auto" w:fill="auto"/>
          </w:tcPr>
          <w:p w14:paraId="377C9145" w14:textId="77777777" w:rsidR="00E4195A" w:rsidRDefault="00E4195A" w:rsidP="003A5A37">
            <w:pPr>
              <w:jc w:val="center"/>
              <w:rPr>
                <w:rFonts w:ascii="Times New Roman" w:hAnsi="Times New Roman" w:cs="Times New Roman"/>
              </w:rPr>
            </w:pPr>
            <w:r>
              <w:rPr>
                <w:rFonts w:ascii="Times New Roman" w:hAnsi="Times New Roman" w:cs="Times New Roman"/>
              </w:rPr>
              <w:t>Izmaksu pozīcija</w:t>
            </w:r>
          </w:p>
        </w:tc>
        <w:tc>
          <w:tcPr>
            <w:tcW w:w="1424" w:type="dxa"/>
          </w:tcPr>
          <w:p w14:paraId="40DDCC73" w14:textId="77777777" w:rsidR="00E4195A" w:rsidRDefault="00E4195A" w:rsidP="00283E9A">
            <w:pPr>
              <w:jc w:val="center"/>
              <w:rPr>
                <w:rFonts w:ascii="Times New Roman" w:hAnsi="Times New Roman" w:cs="Times New Roman"/>
              </w:rPr>
            </w:pPr>
            <w:r>
              <w:rPr>
                <w:rFonts w:ascii="Times New Roman" w:hAnsi="Times New Roman" w:cs="Times New Roman"/>
              </w:rPr>
              <w:t>Izmaksu apjoms noteiktā laika posmā / uz vienu pakalpojuma vienību</w:t>
            </w:r>
          </w:p>
        </w:tc>
        <w:tc>
          <w:tcPr>
            <w:tcW w:w="2766" w:type="dxa"/>
          </w:tcPr>
          <w:p w14:paraId="17F9288E" w14:textId="77777777" w:rsidR="00E4195A" w:rsidRDefault="00E4195A" w:rsidP="00283E9A">
            <w:pPr>
              <w:jc w:val="center"/>
              <w:rPr>
                <w:rFonts w:ascii="Times New Roman" w:hAnsi="Times New Roman" w:cs="Times New Roman"/>
              </w:rPr>
            </w:pPr>
            <w:r>
              <w:rPr>
                <w:rFonts w:ascii="Times New Roman" w:hAnsi="Times New Roman" w:cs="Times New Roman"/>
              </w:rPr>
              <w:t>Piezīmes</w:t>
            </w:r>
          </w:p>
        </w:tc>
      </w:tr>
      <w:tr w:rsidR="00E4195A" w14:paraId="2E8D4C9A" w14:textId="77777777" w:rsidTr="003A5A37">
        <w:tc>
          <w:tcPr>
            <w:tcW w:w="4106" w:type="dxa"/>
            <w:shd w:val="clear" w:color="auto" w:fill="auto"/>
          </w:tcPr>
          <w:p w14:paraId="1DB81B29" w14:textId="77777777" w:rsidR="00E4195A" w:rsidRPr="003A5A37" w:rsidRDefault="00E4195A" w:rsidP="003F0D87">
            <w:pPr>
              <w:rPr>
                <w:rFonts w:ascii="Times New Roman" w:hAnsi="Times New Roman" w:cs="Times New Roman"/>
                <w:b/>
                <w:bCs/>
                <w:u w:val="single"/>
              </w:rPr>
            </w:pPr>
            <w:r w:rsidRPr="003A5A37">
              <w:rPr>
                <w:rFonts w:ascii="Times New Roman" w:hAnsi="Times New Roman" w:cs="Times New Roman"/>
                <w:b/>
                <w:bCs/>
                <w:u w:val="single"/>
              </w:rPr>
              <w:t>Tiešās izmaksas</w:t>
            </w:r>
          </w:p>
        </w:tc>
        <w:tc>
          <w:tcPr>
            <w:tcW w:w="1424" w:type="dxa"/>
          </w:tcPr>
          <w:p w14:paraId="3AF6BB27" w14:textId="77777777" w:rsidR="00E4195A" w:rsidRDefault="00E4195A" w:rsidP="003F0D87">
            <w:pPr>
              <w:rPr>
                <w:rFonts w:ascii="Times New Roman" w:hAnsi="Times New Roman" w:cs="Times New Roman"/>
              </w:rPr>
            </w:pPr>
          </w:p>
        </w:tc>
        <w:tc>
          <w:tcPr>
            <w:tcW w:w="2766" w:type="dxa"/>
          </w:tcPr>
          <w:p w14:paraId="2676970B" w14:textId="77777777" w:rsidR="00E4195A" w:rsidRDefault="00E4195A" w:rsidP="003F0D87">
            <w:pPr>
              <w:rPr>
                <w:rFonts w:ascii="Times New Roman" w:hAnsi="Times New Roman" w:cs="Times New Roman"/>
              </w:rPr>
            </w:pPr>
          </w:p>
        </w:tc>
      </w:tr>
      <w:tr w:rsidR="00E4195A" w14:paraId="6BAA992B" w14:textId="77777777" w:rsidTr="003A5A37">
        <w:tc>
          <w:tcPr>
            <w:tcW w:w="4106" w:type="dxa"/>
            <w:shd w:val="clear" w:color="auto" w:fill="auto"/>
          </w:tcPr>
          <w:p w14:paraId="7DC06DFC" w14:textId="77777777" w:rsidR="00E4195A" w:rsidRDefault="00E4195A" w:rsidP="003F0D87">
            <w:pPr>
              <w:rPr>
                <w:rFonts w:ascii="Times New Roman" w:hAnsi="Times New Roman" w:cs="Times New Roman"/>
              </w:rPr>
            </w:pPr>
          </w:p>
        </w:tc>
        <w:tc>
          <w:tcPr>
            <w:tcW w:w="1424" w:type="dxa"/>
          </w:tcPr>
          <w:p w14:paraId="5A4845AC" w14:textId="77777777" w:rsidR="00E4195A" w:rsidRDefault="00E4195A" w:rsidP="003F0D87">
            <w:pPr>
              <w:rPr>
                <w:rFonts w:ascii="Times New Roman" w:hAnsi="Times New Roman" w:cs="Times New Roman"/>
              </w:rPr>
            </w:pPr>
          </w:p>
        </w:tc>
        <w:tc>
          <w:tcPr>
            <w:tcW w:w="2766" w:type="dxa"/>
          </w:tcPr>
          <w:p w14:paraId="21A5AB55" w14:textId="77777777" w:rsidR="00E4195A" w:rsidRDefault="00E4195A" w:rsidP="003F0D87">
            <w:pPr>
              <w:rPr>
                <w:rFonts w:ascii="Times New Roman" w:hAnsi="Times New Roman" w:cs="Times New Roman"/>
              </w:rPr>
            </w:pPr>
          </w:p>
        </w:tc>
      </w:tr>
      <w:tr w:rsidR="00E4195A" w14:paraId="19B59439" w14:textId="77777777" w:rsidTr="003A5A37">
        <w:tc>
          <w:tcPr>
            <w:tcW w:w="4106" w:type="dxa"/>
            <w:shd w:val="clear" w:color="auto" w:fill="auto"/>
          </w:tcPr>
          <w:p w14:paraId="0AC2F6CB" w14:textId="77777777" w:rsidR="00E4195A" w:rsidRDefault="00E4195A" w:rsidP="003F0D87">
            <w:pPr>
              <w:rPr>
                <w:rFonts w:ascii="Times New Roman" w:hAnsi="Times New Roman" w:cs="Times New Roman"/>
              </w:rPr>
            </w:pPr>
          </w:p>
        </w:tc>
        <w:tc>
          <w:tcPr>
            <w:tcW w:w="1424" w:type="dxa"/>
          </w:tcPr>
          <w:p w14:paraId="74827A12" w14:textId="77777777" w:rsidR="00E4195A" w:rsidRDefault="00E4195A" w:rsidP="003F0D87">
            <w:pPr>
              <w:rPr>
                <w:rFonts w:ascii="Times New Roman" w:hAnsi="Times New Roman" w:cs="Times New Roman"/>
              </w:rPr>
            </w:pPr>
          </w:p>
        </w:tc>
        <w:tc>
          <w:tcPr>
            <w:tcW w:w="2766" w:type="dxa"/>
          </w:tcPr>
          <w:p w14:paraId="4C920ACF" w14:textId="77777777" w:rsidR="00E4195A" w:rsidRDefault="00E4195A" w:rsidP="003F0D87">
            <w:pPr>
              <w:rPr>
                <w:rFonts w:ascii="Times New Roman" w:hAnsi="Times New Roman" w:cs="Times New Roman"/>
              </w:rPr>
            </w:pPr>
          </w:p>
        </w:tc>
      </w:tr>
      <w:tr w:rsidR="00E4195A" w14:paraId="5B850C53" w14:textId="77777777" w:rsidTr="003A5A37">
        <w:tc>
          <w:tcPr>
            <w:tcW w:w="4106" w:type="dxa"/>
            <w:shd w:val="clear" w:color="auto" w:fill="auto"/>
          </w:tcPr>
          <w:p w14:paraId="66040D32" w14:textId="77777777" w:rsidR="00E4195A" w:rsidRDefault="00E4195A" w:rsidP="003F0D87">
            <w:pPr>
              <w:rPr>
                <w:rFonts w:ascii="Times New Roman" w:hAnsi="Times New Roman" w:cs="Times New Roman"/>
              </w:rPr>
            </w:pPr>
          </w:p>
        </w:tc>
        <w:tc>
          <w:tcPr>
            <w:tcW w:w="1424" w:type="dxa"/>
          </w:tcPr>
          <w:p w14:paraId="447B23BC" w14:textId="77777777" w:rsidR="00E4195A" w:rsidRDefault="00E4195A" w:rsidP="003F0D87">
            <w:pPr>
              <w:rPr>
                <w:rFonts w:ascii="Times New Roman" w:hAnsi="Times New Roman" w:cs="Times New Roman"/>
              </w:rPr>
            </w:pPr>
          </w:p>
        </w:tc>
        <w:tc>
          <w:tcPr>
            <w:tcW w:w="2766" w:type="dxa"/>
          </w:tcPr>
          <w:p w14:paraId="4316C4B4" w14:textId="77777777" w:rsidR="00E4195A" w:rsidRDefault="00E4195A" w:rsidP="003F0D87">
            <w:pPr>
              <w:rPr>
                <w:rFonts w:ascii="Times New Roman" w:hAnsi="Times New Roman" w:cs="Times New Roman"/>
              </w:rPr>
            </w:pPr>
          </w:p>
        </w:tc>
      </w:tr>
      <w:tr w:rsidR="00E4195A" w14:paraId="2D7127F5" w14:textId="77777777" w:rsidTr="003A5A37">
        <w:tc>
          <w:tcPr>
            <w:tcW w:w="4106" w:type="dxa"/>
            <w:shd w:val="clear" w:color="auto" w:fill="auto"/>
          </w:tcPr>
          <w:p w14:paraId="1A36AB50" w14:textId="77777777" w:rsidR="00E4195A" w:rsidRDefault="00E4195A" w:rsidP="003F0D87">
            <w:pPr>
              <w:rPr>
                <w:rFonts w:ascii="Times New Roman" w:hAnsi="Times New Roman" w:cs="Times New Roman"/>
              </w:rPr>
            </w:pPr>
          </w:p>
        </w:tc>
        <w:tc>
          <w:tcPr>
            <w:tcW w:w="1424" w:type="dxa"/>
          </w:tcPr>
          <w:p w14:paraId="3E56E9C3" w14:textId="77777777" w:rsidR="00E4195A" w:rsidRDefault="00E4195A" w:rsidP="003F0D87">
            <w:pPr>
              <w:rPr>
                <w:rFonts w:ascii="Times New Roman" w:hAnsi="Times New Roman" w:cs="Times New Roman"/>
              </w:rPr>
            </w:pPr>
          </w:p>
        </w:tc>
        <w:tc>
          <w:tcPr>
            <w:tcW w:w="2766" w:type="dxa"/>
          </w:tcPr>
          <w:p w14:paraId="2752C58B" w14:textId="77777777" w:rsidR="00E4195A" w:rsidRDefault="00E4195A" w:rsidP="003F0D87">
            <w:pPr>
              <w:rPr>
                <w:rFonts w:ascii="Times New Roman" w:hAnsi="Times New Roman" w:cs="Times New Roman"/>
              </w:rPr>
            </w:pPr>
          </w:p>
        </w:tc>
      </w:tr>
      <w:tr w:rsidR="00E4195A" w14:paraId="5BFE22C8" w14:textId="77777777" w:rsidTr="003A5A37">
        <w:tc>
          <w:tcPr>
            <w:tcW w:w="4106" w:type="dxa"/>
            <w:shd w:val="clear" w:color="auto" w:fill="auto"/>
          </w:tcPr>
          <w:p w14:paraId="6916C043" w14:textId="77777777" w:rsidR="00E4195A" w:rsidRDefault="00E4195A" w:rsidP="003F0D87">
            <w:pPr>
              <w:rPr>
                <w:rFonts w:ascii="Times New Roman" w:hAnsi="Times New Roman" w:cs="Times New Roman"/>
              </w:rPr>
            </w:pPr>
          </w:p>
        </w:tc>
        <w:tc>
          <w:tcPr>
            <w:tcW w:w="1424" w:type="dxa"/>
          </w:tcPr>
          <w:p w14:paraId="28DAB783" w14:textId="77777777" w:rsidR="00E4195A" w:rsidRDefault="00E4195A" w:rsidP="003F0D87">
            <w:pPr>
              <w:rPr>
                <w:rFonts w:ascii="Times New Roman" w:hAnsi="Times New Roman" w:cs="Times New Roman"/>
              </w:rPr>
            </w:pPr>
          </w:p>
        </w:tc>
        <w:tc>
          <w:tcPr>
            <w:tcW w:w="2766" w:type="dxa"/>
          </w:tcPr>
          <w:p w14:paraId="69BEE904" w14:textId="77777777" w:rsidR="00E4195A" w:rsidRDefault="00E4195A" w:rsidP="003F0D87">
            <w:pPr>
              <w:rPr>
                <w:rFonts w:ascii="Times New Roman" w:hAnsi="Times New Roman" w:cs="Times New Roman"/>
              </w:rPr>
            </w:pPr>
          </w:p>
        </w:tc>
      </w:tr>
      <w:tr w:rsidR="00E4195A" w14:paraId="4D621896" w14:textId="77777777" w:rsidTr="003A5A37">
        <w:tc>
          <w:tcPr>
            <w:tcW w:w="4106" w:type="dxa"/>
            <w:shd w:val="clear" w:color="auto" w:fill="auto"/>
          </w:tcPr>
          <w:p w14:paraId="3F8934D0" w14:textId="77777777" w:rsidR="00E4195A" w:rsidRDefault="00E4195A" w:rsidP="003F0D87">
            <w:pPr>
              <w:rPr>
                <w:rFonts w:ascii="Times New Roman" w:hAnsi="Times New Roman" w:cs="Times New Roman"/>
              </w:rPr>
            </w:pPr>
          </w:p>
        </w:tc>
        <w:tc>
          <w:tcPr>
            <w:tcW w:w="1424" w:type="dxa"/>
          </w:tcPr>
          <w:p w14:paraId="0DBBE775" w14:textId="77777777" w:rsidR="00E4195A" w:rsidRDefault="00E4195A" w:rsidP="003F0D87">
            <w:pPr>
              <w:rPr>
                <w:rFonts w:ascii="Times New Roman" w:hAnsi="Times New Roman" w:cs="Times New Roman"/>
              </w:rPr>
            </w:pPr>
          </w:p>
        </w:tc>
        <w:tc>
          <w:tcPr>
            <w:tcW w:w="2766" w:type="dxa"/>
          </w:tcPr>
          <w:p w14:paraId="7CAB2973" w14:textId="77777777" w:rsidR="00E4195A" w:rsidRDefault="00E4195A" w:rsidP="003F0D87">
            <w:pPr>
              <w:rPr>
                <w:rFonts w:ascii="Times New Roman" w:hAnsi="Times New Roman" w:cs="Times New Roman"/>
              </w:rPr>
            </w:pPr>
          </w:p>
        </w:tc>
      </w:tr>
      <w:tr w:rsidR="00E4195A" w14:paraId="0A844F7F" w14:textId="77777777" w:rsidTr="003A5A37">
        <w:tc>
          <w:tcPr>
            <w:tcW w:w="4106" w:type="dxa"/>
            <w:shd w:val="clear" w:color="auto" w:fill="auto"/>
          </w:tcPr>
          <w:p w14:paraId="47561D6A" w14:textId="77777777" w:rsidR="00E4195A" w:rsidRPr="003A5A37" w:rsidRDefault="00E4195A" w:rsidP="003A5A37">
            <w:pPr>
              <w:jc w:val="right"/>
              <w:rPr>
                <w:rStyle w:val="Izsmalcintsizclums"/>
              </w:rPr>
            </w:pPr>
            <w:r w:rsidRPr="003A5A37">
              <w:rPr>
                <w:rStyle w:val="Izsmalcintsizclums"/>
              </w:rPr>
              <w:t>Tiešās izmaksas kopā</w:t>
            </w:r>
          </w:p>
        </w:tc>
        <w:tc>
          <w:tcPr>
            <w:tcW w:w="1424" w:type="dxa"/>
          </w:tcPr>
          <w:p w14:paraId="4DB34D10" w14:textId="77777777" w:rsidR="00E4195A" w:rsidRPr="003A5A37" w:rsidRDefault="00E4195A" w:rsidP="003F0D87">
            <w:pPr>
              <w:rPr>
                <w:rFonts w:ascii="Times New Roman" w:hAnsi="Times New Roman" w:cs="Times New Roman"/>
                <w:highlight w:val="lightGray"/>
              </w:rPr>
            </w:pPr>
          </w:p>
        </w:tc>
        <w:tc>
          <w:tcPr>
            <w:tcW w:w="2766" w:type="dxa"/>
          </w:tcPr>
          <w:p w14:paraId="72A04BAE" w14:textId="77777777" w:rsidR="00E4195A" w:rsidRDefault="00E4195A" w:rsidP="003F0D87">
            <w:pPr>
              <w:rPr>
                <w:rFonts w:ascii="Times New Roman" w:hAnsi="Times New Roman" w:cs="Times New Roman"/>
              </w:rPr>
            </w:pPr>
          </w:p>
        </w:tc>
      </w:tr>
      <w:tr w:rsidR="00E4195A" w14:paraId="63436DD8" w14:textId="77777777" w:rsidTr="003A5A37">
        <w:tc>
          <w:tcPr>
            <w:tcW w:w="4106" w:type="dxa"/>
            <w:shd w:val="clear" w:color="auto" w:fill="auto"/>
          </w:tcPr>
          <w:p w14:paraId="10EA633A" w14:textId="77777777" w:rsidR="00E4195A" w:rsidRPr="00E4195A" w:rsidRDefault="00E4195A" w:rsidP="003F0D87">
            <w:pPr>
              <w:rPr>
                <w:rFonts w:ascii="Times New Roman" w:hAnsi="Times New Roman" w:cs="Times New Roman"/>
                <w:b/>
                <w:bCs/>
                <w:u w:val="single"/>
              </w:rPr>
            </w:pPr>
            <w:r w:rsidRPr="00E4195A">
              <w:rPr>
                <w:rFonts w:ascii="Times New Roman" w:hAnsi="Times New Roman" w:cs="Times New Roman"/>
                <w:b/>
                <w:bCs/>
                <w:u w:val="single"/>
              </w:rPr>
              <w:t>Netiešās izmaksas</w:t>
            </w:r>
          </w:p>
        </w:tc>
        <w:tc>
          <w:tcPr>
            <w:tcW w:w="1424" w:type="dxa"/>
          </w:tcPr>
          <w:p w14:paraId="0AED625E" w14:textId="77777777" w:rsidR="00E4195A" w:rsidRDefault="00E4195A" w:rsidP="003F0D87">
            <w:pPr>
              <w:rPr>
                <w:rFonts w:ascii="Times New Roman" w:hAnsi="Times New Roman" w:cs="Times New Roman"/>
              </w:rPr>
            </w:pPr>
          </w:p>
        </w:tc>
        <w:tc>
          <w:tcPr>
            <w:tcW w:w="2766" w:type="dxa"/>
          </w:tcPr>
          <w:p w14:paraId="4FE36FC3" w14:textId="77777777" w:rsidR="00E4195A" w:rsidRDefault="00E4195A" w:rsidP="003F0D87">
            <w:pPr>
              <w:rPr>
                <w:rFonts w:ascii="Times New Roman" w:hAnsi="Times New Roman" w:cs="Times New Roman"/>
              </w:rPr>
            </w:pPr>
          </w:p>
        </w:tc>
      </w:tr>
      <w:tr w:rsidR="00E4195A" w14:paraId="777F06F8" w14:textId="77777777" w:rsidTr="003A5A37">
        <w:tc>
          <w:tcPr>
            <w:tcW w:w="4106" w:type="dxa"/>
            <w:shd w:val="clear" w:color="auto" w:fill="auto"/>
          </w:tcPr>
          <w:p w14:paraId="2CD9E7CA" w14:textId="77777777" w:rsidR="00E4195A" w:rsidRDefault="00E4195A" w:rsidP="003F0D87">
            <w:pPr>
              <w:rPr>
                <w:rFonts w:ascii="Times New Roman" w:hAnsi="Times New Roman" w:cs="Times New Roman"/>
              </w:rPr>
            </w:pPr>
          </w:p>
        </w:tc>
        <w:tc>
          <w:tcPr>
            <w:tcW w:w="1424" w:type="dxa"/>
          </w:tcPr>
          <w:p w14:paraId="3E9DEE93" w14:textId="77777777" w:rsidR="00E4195A" w:rsidRDefault="00E4195A" w:rsidP="003F0D87">
            <w:pPr>
              <w:rPr>
                <w:rFonts w:ascii="Times New Roman" w:hAnsi="Times New Roman" w:cs="Times New Roman"/>
              </w:rPr>
            </w:pPr>
          </w:p>
        </w:tc>
        <w:tc>
          <w:tcPr>
            <w:tcW w:w="2766" w:type="dxa"/>
          </w:tcPr>
          <w:p w14:paraId="4BD64E1A" w14:textId="77777777" w:rsidR="00E4195A" w:rsidRDefault="00E4195A" w:rsidP="003F0D87">
            <w:pPr>
              <w:rPr>
                <w:rFonts w:ascii="Times New Roman" w:hAnsi="Times New Roman" w:cs="Times New Roman"/>
              </w:rPr>
            </w:pPr>
          </w:p>
        </w:tc>
      </w:tr>
      <w:tr w:rsidR="00E4195A" w14:paraId="728AC8B5" w14:textId="77777777" w:rsidTr="003A5A37">
        <w:tc>
          <w:tcPr>
            <w:tcW w:w="4106" w:type="dxa"/>
            <w:shd w:val="clear" w:color="auto" w:fill="auto"/>
          </w:tcPr>
          <w:p w14:paraId="5F3B5BE4" w14:textId="77777777" w:rsidR="00E4195A" w:rsidRDefault="00E4195A" w:rsidP="003F0D87">
            <w:pPr>
              <w:rPr>
                <w:rFonts w:ascii="Times New Roman" w:hAnsi="Times New Roman" w:cs="Times New Roman"/>
              </w:rPr>
            </w:pPr>
          </w:p>
        </w:tc>
        <w:tc>
          <w:tcPr>
            <w:tcW w:w="1424" w:type="dxa"/>
          </w:tcPr>
          <w:p w14:paraId="03412727" w14:textId="77777777" w:rsidR="00E4195A" w:rsidRDefault="00E4195A" w:rsidP="003F0D87">
            <w:pPr>
              <w:rPr>
                <w:rFonts w:ascii="Times New Roman" w:hAnsi="Times New Roman" w:cs="Times New Roman"/>
              </w:rPr>
            </w:pPr>
          </w:p>
        </w:tc>
        <w:tc>
          <w:tcPr>
            <w:tcW w:w="2766" w:type="dxa"/>
          </w:tcPr>
          <w:p w14:paraId="7587B72A" w14:textId="77777777" w:rsidR="00E4195A" w:rsidRDefault="00E4195A" w:rsidP="003F0D87">
            <w:pPr>
              <w:rPr>
                <w:rFonts w:ascii="Times New Roman" w:hAnsi="Times New Roman" w:cs="Times New Roman"/>
              </w:rPr>
            </w:pPr>
          </w:p>
        </w:tc>
      </w:tr>
      <w:tr w:rsidR="00E4195A" w14:paraId="3CDDA43E" w14:textId="77777777" w:rsidTr="003A5A37">
        <w:tc>
          <w:tcPr>
            <w:tcW w:w="4106" w:type="dxa"/>
            <w:shd w:val="clear" w:color="auto" w:fill="auto"/>
          </w:tcPr>
          <w:p w14:paraId="5142C1A9" w14:textId="77777777" w:rsidR="00E4195A" w:rsidRDefault="00E4195A" w:rsidP="003F0D87">
            <w:pPr>
              <w:rPr>
                <w:rFonts w:ascii="Times New Roman" w:hAnsi="Times New Roman" w:cs="Times New Roman"/>
              </w:rPr>
            </w:pPr>
          </w:p>
        </w:tc>
        <w:tc>
          <w:tcPr>
            <w:tcW w:w="1424" w:type="dxa"/>
          </w:tcPr>
          <w:p w14:paraId="090C5E9E" w14:textId="77777777" w:rsidR="00E4195A" w:rsidRDefault="00E4195A" w:rsidP="003F0D87">
            <w:pPr>
              <w:rPr>
                <w:rFonts w:ascii="Times New Roman" w:hAnsi="Times New Roman" w:cs="Times New Roman"/>
              </w:rPr>
            </w:pPr>
          </w:p>
        </w:tc>
        <w:tc>
          <w:tcPr>
            <w:tcW w:w="2766" w:type="dxa"/>
          </w:tcPr>
          <w:p w14:paraId="3A968E4B" w14:textId="77777777" w:rsidR="00E4195A" w:rsidRDefault="00E4195A" w:rsidP="003F0D87">
            <w:pPr>
              <w:rPr>
                <w:rFonts w:ascii="Times New Roman" w:hAnsi="Times New Roman" w:cs="Times New Roman"/>
              </w:rPr>
            </w:pPr>
          </w:p>
        </w:tc>
      </w:tr>
      <w:tr w:rsidR="00E4195A" w14:paraId="318F321E" w14:textId="77777777" w:rsidTr="003A5A37">
        <w:tc>
          <w:tcPr>
            <w:tcW w:w="4106" w:type="dxa"/>
            <w:shd w:val="clear" w:color="auto" w:fill="auto"/>
          </w:tcPr>
          <w:p w14:paraId="1DF2C5ED" w14:textId="77777777" w:rsidR="00E4195A" w:rsidRDefault="00E4195A" w:rsidP="003F0D87">
            <w:pPr>
              <w:rPr>
                <w:rFonts w:ascii="Times New Roman" w:hAnsi="Times New Roman" w:cs="Times New Roman"/>
              </w:rPr>
            </w:pPr>
          </w:p>
        </w:tc>
        <w:tc>
          <w:tcPr>
            <w:tcW w:w="1424" w:type="dxa"/>
          </w:tcPr>
          <w:p w14:paraId="059FE20E" w14:textId="77777777" w:rsidR="00E4195A" w:rsidRDefault="00E4195A" w:rsidP="003F0D87">
            <w:pPr>
              <w:rPr>
                <w:rFonts w:ascii="Times New Roman" w:hAnsi="Times New Roman" w:cs="Times New Roman"/>
              </w:rPr>
            </w:pPr>
          </w:p>
        </w:tc>
        <w:tc>
          <w:tcPr>
            <w:tcW w:w="2766" w:type="dxa"/>
          </w:tcPr>
          <w:p w14:paraId="61AFD51A" w14:textId="77777777" w:rsidR="00E4195A" w:rsidRDefault="00E4195A" w:rsidP="003F0D87">
            <w:pPr>
              <w:rPr>
                <w:rFonts w:ascii="Times New Roman" w:hAnsi="Times New Roman" w:cs="Times New Roman"/>
              </w:rPr>
            </w:pPr>
          </w:p>
        </w:tc>
      </w:tr>
      <w:tr w:rsidR="00E4195A" w14:paraId="5B534344" w14:textId="77777777" w:rsidTr="003A5A37">
        <w:tc>
          <w:tcPr>
            <w:tcW w:w="4106" w:type="dxa"/>
            <w:shd w:val="clear" w:color="auto" w:fill="auto"/>
          </w:tcPr>
          <w:p w14:paraId="5D828369" w14:textId="77777777" w:rsidR="00E4195A" w:rsidRDefault="00E4195A" w:rsidP="003F0D87">
            <w:pPr>
              <w:rPr>
                <w:rFonts w:ascii="Times New Roman" w:hAnsi="Times New Roman" w:cs="Times New Roman"/>
              </w:rPr>
            </w:pPr>
            <w:r>
              <w:rPr>
                <w:rFonts w:ascii="Times New Roman" w:hAnsi="Times New Roman" w:cs="Times New Roman"/>
              </w:rPr>
              <w:t>Administrācijas izmaksas</w:t>
            </w:r>
          </w:p>
        </w:tc>
        <w:tc>
          <w:tcPr>
            <w:tcW w:w="1424" w:type="dxa"/>
          </w:tcPr>
          <w:p w14:paraId="72F83D2A" w14:textId="77777777" w:rsidR="00E4195A" w:rsidRDefault="00E4195A" w:rsidP="003F0D87">
            <w:pPr>
              <w:rPr>
                <w:rFonts w:ascii="Times New Roman" w:hAnsi="Times New Roman" w:cs="Times New Roman"/>
              </w:rPr>
            </w:pPr>
          </w:p>
        </w:tc>
        <w:tc>
          <w:tcPr>
            <w:tcW w:w="2766" w:type="dxa"/>
          </w:tcPr>
          <w:p w14:paraId="384F7549" w14:textId="77777777" w:rsidR="00E4195A" w:rsidRDefault="00E4195A" w:rsidP="003F0D87">
            <w:pPr>
              <w:rPr>
                <w:rFonts w:ascii="Times New Roman" w:hAnsi="Times New Roman" w:cs="Times New Roman"/>
              </w:rPr>
            </w:pPr>
          </w:p>
        </w:tc>
      </w:tr>
      <w:tr w:rsidR="00E4195A" w14:paraId="204BFCF5" w14:textId="77777777" w:rsidTr="003A5A37">
        <w:tc>
          <w:tcPr>
            <w:tcW w:w="4106" w:type="dxa"/>
            <w:shd w:val="clear" w:color="auto" w:fill="auto"/>
          </w:tcPr>
          <w:p w14:paraId="24486810" w14:textId="77777777" w:rsidR="00E4195A" w:rsidRPr="003A5A37" w:rsidRDefault="00E4195A" w:rsidP="00283E9A">
            <w:pPr>
              <w:jc w:val="right"/>
              <w:rPr>
                <w:rStyle w:val="Izsmalcintsizclums"/>
              </w:rPr>
            </w:pPr>
            <w:r w:rsidRPr="003A5A37">
              <w:rPr>
                <w:rStyle w:val="Izsmalcintsizclums"/>
              </w:rPr>
              <w:t>Netiešās izmaksa</w:t>
            </w:r>
            <w:r w:rsidR="00283E9A" w:rsidRPr="003A5A37">
              <w:rPr>
                <w:rStyle w:val="Izsmalcintsizclums"/>
              </w:rPr>
              <w:t>s kopā</w:t>
            </w:r>
          </w:p>
        </w:tc>
        <w:tc>
          <w:tcPr>
            <w:tcW w:w="1424" w:type="dxa"/>
          </w:tcPr>
          <w:p w14:paraId="08CCF7EC" w14:textId="77777777" w:rsidR="00E4195A" w:rsidRDefault="00E4195A" w:rsidP="003F0D87">
            <w:pPr>
              <w:rPr>
                <w:rFonts w:ascii="Times New Roman" w:hAnsi="Times New Roman" w:cs="Times New Roman"/>
              </w:rPr>
            </w:pPr>
          </w:p>
        </w:tc>
        <w:tc>
          <w:tcPr>
            <w:tcW w:w="2766" w:type="dxa"/>
          </w:tcPr>
          <w:p w14:paraId="3A4FBE80" w14:textId="77777777" w:rsidR="00E4195A" w:rsidRDefault="00E4195A" w:rsidP="003F0D87">
            <w:pPr>
              <w:rPr>
                <w:rFonts w:ascii="Times New Roman" w:hAnsi="Times New Roman" w:cs="Times New Roman"/>
              </w:rPr>
            </w:pPr>
          </w:p>
        </w:tc>
      </w:tr>
      <w:tr w:rsidR="00E4195A" w14:paraId="34CDD71F" w14:textId="77777777" w:rsidTr="003A5A37">
        <w:tc>
          <w:tcPr>
            <w:tcW w:w="4106" w:type="dxa"/>
            <w:shd w:val="clear" w:color="auto" w:fill="auto"/>
          </w:tcPr>
          <w:p w14:paraId="1E340F49" w14:textId="77777777" w:rsidR="00E4195A" w:rsidRPr="003A5A37" w:rsidRDefault="00E4195A" w:rsidP="00283E9A">
            <w:pPr>
              <w:jc w:val="right"/>
              <w:rPr>
                <w:rStyle w:val="Izsmalcintsizclums"/>
              </w:rPr>
            </w:pPr>
            <w:r w:rsidRPr="003A5A37">
              <w:rPr>
                <w:rStyle w:val="Izsmalcintsizclums"/>
              </w:rPr>
              <w:t>Neparedzētie 5%</w:t>
            </w:r>
          </w:p>
        </w:tc>
        <w:tc>
          <w:tcPr>
            <w:tcW w:w="1424" w:type="dxa"/>
          </w:tcPr>
          <w:p w14:paraId="4E3B138C" w14:textId="77777777" w:rsidR="00E4195A" w:rsidRDefault="00E4195A" w:rsidP="003F0D87">
            <w:pPr>
              <w:rPr>
                <w:rFonts w:ascii="Times New Roman" w:hAnsi="Times New Roman" w:cs="Times New Roman"/>
              </w:rPr>
            </w:pPr>
          </w:p>
        </w:tc>
        <w:tc>
          <w:tcPr>
            <w:tcW w:w="2766" w:type="dxa"/>
          </w:tcPr>
          <w:p w14:paraId="4B69CC42" w14:textId="77777777" w:rsidR="00E4195A" w:rsidRDefault="00E4195A" w:rsidP="003F0D87">
            <w:pPr>
              <w:rPr>
                <w:rFonts w:ascii="Times New Roman" w:hAnsi="Times New Roman" w:cs="Times New Roman"/>
              </w:rPr>
            </w:pPr>
          </w:p>
        </w:tc>
      </w:tr>
      <w:tr w:rsidR="00E4195A" w14:paraId="5B07F00B" w14:textId="77777777" w:rsidTr="003A5A37">
        <w:tc>
          <w:tcPr>
            <w:tcW w:w="4106" w:type="dxa"/>
            <w:shd w:val="clear" w:color="auto" w:fill="auto"/>
          </w:tcPr>
          <w:p w14:paraId="57C27D41" w14:textId="77777777" w:rsidR="00E4195A" w:rsidRPr="003A5A37" w:rsidRDefault="00E4195A" w:rsidP="00283E9A">
            <w:pPr>
              <w:jc w:val="right"/>
              <w:rPr>
                <w:rStyle w:val="Izsmalcintsizclums"/>
              </w:rPr>
            </w:pPr>
            <w:r w:rsidRPr="003A5A37">
              <w:rPr>
                <w:rStyle w:val="Izsmalcintsizclums"/>
              </w:rPr>
              <w:t xml:space="preserve">Izmaksas kopā </w:t>
            </w:r>
          </w:p>
        </w:tc>
        <w:tc>
          <w:tcPr>
            <w:tcW w:w="1424" w:type="dxa"/>
          </w:tcPr>
          <w:p w14:paraId="5B4BFAE8" w14:textId="77777777" w:rsidR="00E4195A" w:rsidRDefault="00E4195A" w:rsidP="003F0D87">
            <w:pPr>
              <w:rPr>
                <w:rFonts w:ascii="Times New Roman" w:hAnsi="Times New Roman" w:cs="Times New Roman"/>
              </w:rPr>
            </w:pPr>
          </w:p>
        </w:tc>
        <w:tc>
          <w:tcPr>
            <w:tcW w:w="2766" w:type="dxa"/>
          </w:tcPr>
          <w:p w14:paraId="0CE57D63" w14:textId="77777777" w:rsidR="00E4195A" w:rsidRDefault="00E4195A" w:rsidP="003F0D87">
            <w:pPr>
              <w:rPr>
                <w:rFonts w:ascii="Times New Roman" w:hAnsi="Times New Roman" w:cs="Times New Roman"/>
              </w:rPr>
            </w:pPr>
          </w:p>
        </w:tc>
      </w:tr>
      <w:tr w:rsidR="00E4195A" w14:paraId="6EE1C824" w14:textId="77777777" w:rsidTr="003A5A37">
        <w:tc>
          <w:tcPr>
            <w:tcW w:w="4106" w:type="dxa"/>
            <w:tcBorders>
              <w:bottom w:val="single" w:sz="4" w:space="0" w:color="auto"/>
            </w:tcBorders>
            <w:shd w:val="clear" w:color="auto" w:fill="auto"/>
          </w:tcPr>
          <w:p w14:paraId="5A90AEDC" w14:textId="77777777" w:rsidR="00E4195A" w:rsidRDefault="00E4195A" w:rsidP="00283E9A">
            <w:pPr>
              <w:jc w:val="right"/>
              <w:rPr>
                <w:rFonts w:ascii="Times New Roman" w:hAnsi="Times New Roman" w:cs="Times New Roman"/>
              </w:rPr>
            </w:pPr>
            <w:r>
              <w:rPr>
                <w:rFonts w:ascii="Times New Roman" w:hAnsi="Times New Roman" w:cs="Times New Roman"/>
              </w:rPr>
              <w:t>Vienību skaits</w:t>
            </w:r>
          </w:p>
        </w:tc>
        <w:tc>
          <w:tcPr>
            <w:tcW w:w="1424" w:type="dxa"/>
            <w:tcBorders>
              <w:bottom w:val="single" w:sz="4" w:space="0" w:color="auto"/>
            </w:tcBorders>
          </w:tcPr>
          <w:p w14:paraId="7B911818" w14:textId="77777777" w:rsidR="00E4195A" w:rsidRDefault="00E4195A" w:rsidP="003F0D87">
            <w:pPr>
              <w:rPr>
                <w:rFonts w:ascii="Times New Roman" w:hAnsi="Times New Roman" w:cs="Times New Roman"/>
              </w:rPr>
            </w:pPr>
          </w:p>
        </w:tc>
        <w:tc>
          <w:tcPr>
            <w:tcW w:w="2766" w:type="dxa"/>
            <w:tcBorders>
              <w:bottom w:val="single" w:sz="4" w:space="0" w:color="auto"/>
            </w:tcBorders>
          </w:tcPr>
          <w:p w14:paraId="08563953" w14:textId="77777777" w:rsidR="00E4195A" w:rsidRDefault="00E4195A" w:rsidP="003F0D87">
            <w:pPr>
              <w:rPr>
                <w:rFonts w:ascii="Times New Roman" w:hAnsi="Times New Roman" w:cs="Times New Roman"/>
              </w:rPr>
            </w:pPr>
          </w:p>
        </w:tc>
      </w:tr>
      <w:tr w:rsidR="00E4195A" w14:paraId="2BD2AFBE" w14:textId="77777777" w:rsidTr="003A5A37">
        <w:tc>
          <w:tcPr>
            <w:tcW w:w="4106" w:type="dxa"/>
            <w:tcBorders>
              <w:bottom w:val="single" w:sz="4" w:space="0" w:color="auto"/>
            </w:tcBorders>
            <w:shd w:val="clear" w:color="auto" w:fill="auto"/>
          </w:tcPr>
          <w:p w14:paraId="66C8069C" w14:textId="77777777" w:rsidR="00E4195A" w:rsidRPr="003A5A37" w:rsidRDefault="00E4195A" w:rsidP="00283E9A">
            <w:pPr>
              <w:jc w:val="right"/>
              <w:rPr>
                <w:rStyle w:val="Izsmalcintsizclums"/>
              </w:rPr>
            </w:pPr>
            <w:r w:rsidRPr="003A5A37">
              <w:rPr>
                <w:rStyle w:val="Izsmalcintsizclums"/>
              </w:rPr>
              <w:t>Izcenojums uz vienu vienību</w:t>
            </w:r>
          </w:p>
        </w:tc>
        <w:tc>
          <w:tcPr>
            <w:tcW w:w="1424" w:type="dxa"/>
            <w:tcBorders>
              <w:bottom w:val="single" w:sz="4" w:space="0" w:color="auto"/>
            </w:tcBorders>
          </w:tcPr>
          <w:p w14:paraId="22B2807D" w14:textId="77777777" w:rsidR="00E4195A" w:rsidRDefault="00E4195A" w:rsidP="003F0D87">
            <w:pPr>
              <w:rPr>
                <w:rFonts w:ascii="Times New Roman" w:hAnsi="Times New Roman" w:cs="Times New Roman"/>
              </w:rPr>
            </w:pPr>
          </w:p>
        </w:tc>
        <w:tc>
          <w:tcPr>
            <w:tcW w:w="2766" w:type="dxa"/>
            <w:tcBorders>
              <w:bottom w:val="single" w:sz="4" w:space="0" w:color="auto"/>
            </w:tcBorders>
          </w:tcPr>
          <w:p w14:paraId="34F811E1" w14:textId="77777777" w:rsidR="00E4195A" w:rsidRDefault="00E4195A" w:rsidP="003F0D87">
            <w:pPr>
              <w:rPr>
                <w:rFonts w:ascii="Times New Roman" w:hAnsi="Times New Roman" w:cs="Times New Roman"/>
              </w:rPr>
            </w:pPr>
          </w:p>
        </w:tc>
      </w:tr>
      <w:tr w:rsidR="00E4195A" w14:paraId="0E28DE78" w14:textId="77777777" w:rsidTr="003A5A37">
        <w:trPr>
          <w:trHeight w:val="241"/>
        </w:trPr>
        <w:tc>
          <w:tcPr>
            <w:tcW w:w="4106" w:type="dxa"/>
            <w:tcBorders>
              <w:top w:val="single" w:sz="4" w:space="0" w:color="auto"/>
              <w:left w:val="nil"/>
              <w:bottom w:val="nil"/>
              <w:right w:val="nil"/>
            </w:tcBorders>
            <w:shd w:val="clear" w:color="auto" w:fill="auto"/>
          </w:tcPr>
          <w:p w14:paraId="4CACDF0B" w14:textId="77777777" w:rsidR="00E4195A" w:rsidRDefault="00E4195A" w:rsidP="003F0D87">
            <w:pPr>
              <w:rPr>
                <w:rFonts w:ascii="Times New Roman" w:hAnsi="Times New Roman" w:cs="Times New Roman"/>
              </w:rPr>
            </w:pPr>
          </w:p>
        </w:tc>
        <w:tc>
          <w:tcPr>
            <w:tcW w:w="1424" w:type="dxa"/>
            <w:tcBorders>
              <w:top w:val="single" w:sz="4" w:space="0" w:color="auto"/>
              <w:left w:val="nil"/>
              <w:bottom w:val="nil"/>
              <w:right w:val="nil"/>
            </w:tcBorders>
          </w:tcPr>
          <w:p w14:paraId="1EF58CBA" w14:textId="77777777" w:rsidR="00E4195A" w:rsidRDefault="00E4195A" w:rsidP="003F0D87">
            <w:pPr>
              <w:rPr>
                <w:rFonts w:ascii="Times New Roman" w:hAnsi="Times New Roman" w:cs="Times New Roman"/>
              </w:rPr>
            </w:pPr>
          </w:p>
        </w:tc>
        <w:tc>
          <w:tcPr>
            <w:tcW w:w="2766" w:type="dxa"/>
            <w:tcBorders>
              <w:top w:val="single" w:sz="4" w:space="0" w:color="auto"/>
              <w:left w:val="nil"/>
              <w:bottom w:val="nil"/>
              <w:right w:val="nil"/>
            </w:tcBorders>
          </w:tcPr>
          <w:p w14:paraId="4D248C58" w14:textId="77777777" w:rsidR="00E4195A" w:rsidRDefault="00E4195A" w:rsidP="003F0D87">
            <w:pPr>
              <w:rPr>
                <w:rFonts w:ascii="Times New Roman" w:hAnsi="Times New Roman" w:cs="Times New Roman"/>
              </w:rPr>
            </w:pPr>
          </w:p>
        </w:tc>
      </w:tr>
    </w:tbl>
    <w:p w14:paraId="50EB548B" w14:textId="77777777" w:rsidR="00E4195A" w:rsidRPr="00483B2F" w:rsidRDefault="00E4195A" w:rsidP="003F0D87">
      <w:pPr>
        <w:spacing w:after="0"/>
        <w:rPr>
          <w:rFonts w:ascii="Times New Roman" w:hAnsi="Times New Roman" w:cs="Times New Roman"/>
        </w:rPr>
      </w:pPr>
    </w:p>
    <w:sectPr w:rsidR="00E4195A" w:rsidRPr="00483B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A64"/>
    <w:multiLevelType w:val="multilevel"/>
    <w:tmpl w:val="6680B8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AD22D14"/>
    <w:multiLevelType w:val="hybridMultilevel"/>
    <w:tmpl w:val="7C426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4E1206"/>
    <w:multiLevelType w:val="hybridMultilevel"/>
    <w:tmpl w:val="E87C5A42"/>
    <w:lvl w:ilvl="0" w:tplc="32E01592">
      <w:start w:val="1"/>
      <w:numFmt w:val="lowerLetter"/>
      <w:lvlText w:val="%1)"/>
      <w:lvlJc w:val="lef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num w:numId="1" w16cid:durableId="1267888834">
    <w:abstractNumId w:val="1"/>
  </w:num>
  <w:num w:numId="2" w16cid:durableId="1592471522">
    <w:abstractNumId w:val="0"/>
  </w:num>
  <w:num w:numId="3" w16cid:durableId="139158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2F"/>
    <w:rsid w:val="0005643E"/>
    <w:rsid w:val="00084E9B"/>
    <w:rsid w:val="001319BB"/>
    <w:rsid w:val="00172F0B"/>
    <w:rsid w:val="00194215"/>
    <w:rsid w:val="001C7ED5"/>
    <w:rsid w:val="00283E9A"/>
    <w:rsid w:val="00312625"/>
    <w:rsid w:val="003A5A37"/>
    <w:rsid w:val="003D2149"/>
    <w:rsid w:val="003F0D87"/>
    <w:rsid w:val="00483B2F"/>
    <w:rsid w:val="004C6E9B"/>
    <w:rsid w:val="00502497"/>
    <w:rsid w:val="00612194"/>
    <w:rsid w:val="006C3E44"/>
    <w:rsid w:val="0079100F"/>
    <w:rsid w:val="00947207"/>
    <w:rsid w:val="00A27D88"/>
    <w:rsid w:val="00A5057F"/>
    <w:rsid w:val="00A94487"/>
    <w:rsid w:val="00B41EC9"/>
    <w:rsid w:val="00B5156E"/>
    <w:rsid w:val="00B86E96"/>
    <w:rsid w:val="00C41597"/>
    <w:rsid w:val="00CA467E"/>
    <w:rsid w:val="00E4195A"/>
    <w:rsid w:val="00E82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BCC5"/>
  <w15:chartTrackingRefBased/>
  <w15:docId w15:val="{E9FCA282-FD77-419C-8239-3E7F1073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41EC9"/>
    <w:pPr>
      <w:ind w:left="720"/>
      <w:contextualSpacing/>
    </w:pPr>
  </w:style>
  <w:style w:type="table" w:styleId="Reatabula">
    <w:name w:val="Table Grid"/>
    <w:basedOn w:val="Parastatabula"/>
    <w:uiPriority w:val="39"/>
    <w:rsid w:val="003F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smalcintsizclums">
    <w:name w:val="Subtle Emphasis"/>
    <w:basedOn w:val="Noklusjumarindkopasfonts"/>
    <w:uiPriority w:val="19"/>
    <w:qFormat/>
    <w:rsid w:val="003A5A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3583</Words>
  <Characters>2043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Pāvilostas Osta</dc:creator>
  <cp:keywords/>
  <dc:description/>
  <cp:lastModifiedBy>Pāvilostas Osta</cp:lastModifiedBy>
  <cp:revision>2</cp:revision>
  <dcterms:created xsi:type="dcterms:W3CDTF">2024-01-30T12:20:00Z</dcterms:created>
  <dcterms:modified xsi:type="dcterms:W3CDTF">2024-01-30T12:20:00Z</dcterms:modified>
</cp:coreProperties>
</file>